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167BA0" w14:textId="5E73088D" w:rsidR="001F7AD4" w:rsidRDefault="00000000">
      <w:pPr>
        <w:spacing w:after="120"/>
      </w:pPr>
      <w:r>
        <w:rPr>
          <w:noProof/>
        </w:rPr>
        <w:drawing>
          <wp:anchor distT="0" distB="0" distL="114300" distR="114300" simplePos="0" relativeHeight="251658240" behindDoc="0" locked="0" layoutInCell="1" allowOverlap="1" wp14:anchorId="79C6DA8E" wp14:editId="649492AF">
            <wp:simplePos x="914400" y="628153"/>
            <wp:positionH relativeFrom="column">
              <wp:align>left</wp:align>
            </wp:positionH>
            <wp:positionV relativeFrom="paragraph">
              <wp:align>top</wp:align>
            </wp:positionV>
            <wp:extent cx="2228850" cy="53340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8850" cy="533400"/>
                    </a:xfrm>
                    <a:prstGeom prst="rect">
                      <a:avLst/>
                    </a:prstGeom>
                  </pic:spPr>
                </pic:pic>
              </a:graphicData>
            </a:graphic>
          </wp:anchor>
        </w:drawing>
      </w:r>
      <w:r w:rsidR="003244B7">
        <w:br w:type="textWrapping" w:clear="all"/>
      </w:r>
    </w:p>
    <w:p w14:paraId="0691A237" w14:textId="77777777" w:rsidR="001F7AD4" w:rsidRDefault="00000000">
      <w:r>
        <w:rPr>
          <w:b/>
          <w:bCs/>
          <w:sz w:val="52"/>
          <w:szCs w:val="52"/>
        </w:rPr>
        <w:t>Where Should It Go?</w:t>
      </w:r>
    </w:p>
    <w:p w14:paraId="1C08B97A" w14:textId="77777777" w:rsidR="001F7AD4" w:rsidRDefault="00000000">
      <w:pPr>
        <w:spacing w:after="200"/>
      </w:pPr>
      <w:r>
        <w:rPr>
          <w:b/>
          <w:bCs/>
          <w:color w:val="02568A"/>
          <w:sz w:val="40"/>
          <w:szCs w:val="40"/>
        </w:rPr>
        <w:t>Thinking Like a GIS Specialist</w:t>
      </w:r>
    </w:p>
    <w:p w14:paraId="15C03838" w14:textId="77777777" w:rsidR="001F7AD4" w:rsidRDefault="00000000">
      <w:pPr>
        <w:spacing w:after="120" w:line="260" w:lineRule="auto"/>
      </w:pPr>
      <w:r>
        <w:rPr>
          <w:b/>
          <w:bCs/>
        </w:rPr>
        <w:t>Grades 9–</w:t>
      </w:r>
      <w:proofErr w:type="gramStart"/>
      <w:r>
        <w:rPr>
          <w:b/>
          <w:bCs/>
        </w:rPr>
        <w:t>10  |</w:t>
      </w:r>
      <w:proofErr w:type="gramEnd"/>
      <w:r>
        <w:rPr>
          <w:b/>
          <w:bCs/>
        </w:rPr>
        <w:t xml:space="preserve">  </w:t>
      </w:r>
      <w:proofErr w:type="gramStart"/>
      <w:r>
        <w:rPr>
          <w:b/>
          <w:bCs/>
        </w:rPr>
        <w:t>Mathematics  |</w:t>
      </w:r>
      <w:proofErr w:type="gramEnd"/>
      <w:r>
        <w:rPr>
          <w:b/>
          <w:bCs/>
        </w:rPr>
        <w:t xml:space="preserve">  One period (60–75 </w:t>
      </w:r>
      <w:proofErr w:type="gramStart"/>
      <w:r>
        <w:rPr>
          <w:b/>
          <w:bCs/>
        </w:rPr>
        <w:t>minutes)  |</w:t>
      </w:r>
      <w:proofErr w:type="gramEnd"/>
      <w:r>
        <w:rPr>
          <w:b/>
          <w:bCs/>
        </w:rPr>
        <w:t xml:space="preserve">  1:1 </w:t>
      </w:r>
      <w:proofErr w:type="gramStart"/>
      <w:r>
        <w:rPr>
          <w:b/>
          <w:bCs/>
        </w:rPr>
        <w:t>devices</w:t>
      </w:r>
      <w:proofErr w:type="gramEnd"/>
    </w:p>
    <w:p w14:paraId="0A3966FB" w14:textId="77777777" w:rsidR="001F7AD4" w:rsidRDefault="00000000">
      <w:pPr>
        <w:keepNext/>
        <w:spacing w:before="280" w:after="100"/>
      </w:pPr>
      <w:r>
        <w:rPr>
          <w:b/>
          <w:bCs/>
          <w:color w:val="02568A"/>
          <w:sz w:val="36"/>
          <w:szCs w:val="36"/>
        </w:rPr>
        <w:t>Overview</w:t>
      </w:r>
    </w:p>
    <w:p w14:paraId="57306C38" w14:textId="77777777" w:rsidR="001F7AD4" w:rsidRDefault="00000000">
      <w:pPr>
        <w:spacing w:after="120" w:line="260" w:lineRule="auto"/>
      </w:pPr>
      <w:proofErr w:type="gramStart"/>
      <w:r>
        <w:t>Learners</w:t>
      </w:r>
      <w:proofErr w:type="gramEnd"/>
      <w:r>
        <w:t xml:space="preserve"> step into the role of a Geographic Information Systems (GIS) specialist and answer a question their own community could </w:t>
      </w:r>
      <w:proofErr w:type="gramStart"/>
      <w:r>
        <w:t>actually face</w:t>
      </w:r>
      <w:proofErr w:type="gramEnd"/>
      <w:r>
        <w:t>: where should a new emergency warming centre be built? Working in pairs, they stack real provincial map layers, measure distances and areas on the ground, convert those measurements into scores, and apply a weighted suitability formula to rank three candidate sites. They finish by defending a recommendation with numbers rather than opinion.</w:t>
      </w:r>
    </w:p>
    <w:p w14:paraId="77B493A8" w14:textId="77777777" w:rsidR="001F7AD4" w:rsidRDefault="00000000">
      <w:pPr>
        <w:spacing w:after="120" w:line="260" w:lineRule="auto"/>
      </w:pPr>
      <w:r>
        <w:t>The weighted overlay method at the heart of this task is not a classroom simplification. It is the standard technique GIS specialists use when advising planners, councils and emergency managers on where to put things. Learners meet the career by doing its central mathematical move: turning messy spatial information into a defensible number.</w:t>
      </w:r>
    </w:p>
    <w:p w14:paraId="659182C6" w14:textId="77777777" w:rsidR="001F7AD4" w:rsidRDefault="00000000">
      <w:pPr>
        <w:spacing w:after="120" w:line="260" w:lineRule="auto"/>
      </w:pPr>
      <w:r>
        <w:t>GIS specialists in New Brunswick work at Service New Brunswick, the Department of Environment and Local Government, regional service commissions, municipalities, utilities, and forestry, engineering and consulting firms. The role sits under National Occupational Classification 22214, Technical occupations in geomatics and meteorology. Most entry paths run through a two-year community college diploma in geomatics or GIS, or a university degree in geography, environmental science, computer science or engineering with GIS coursework attached. Learners are asked to reflect at the end on whether this kind of work appeals to them.</w:t>
      </w:r>
    </w:p>
    <w:p w14:paraId="1A52D19B" w14:textId="77777777" w:rsidR="001F7AD4" w:rsidRDefault="00000000">
      <w:pPr>
        <w:keepNext/>
        <w:spacing w:before="280" w:after="100"/>
      </w:pPr>
      <w:r>
        <w:rPr>
          <w:b/>
          <w:bCs/>
          <w:color w:val="02568A"/>
          <w:sz w:val="36"/>
          <w:szCs w:val="36"/>
        </w:rPr>
        <w:t>NB Curricular Connections</w:t>
      </w:r>
    </w:p>
    <w:p w14:paraId="763FDB75" w14:textId="77777777" w:rsidR="001F7AD4" w:rsidRDefault="00000000">
      <w:pPr>
        <w:keepNext/>
        <w:spacing w:before="160" w:after="60"/>
      </w:pPr>
      <w:r>
        <w:rPr>
          <w:b/>
          <w:bCs/>
        </w:rPr>
        <w:t>Mathematics 9</w:t>
      </w:r>
    </w:p>
    <w:p w14:paraId="0AD30188" w14:textId="77777777" w:rsidR="001F7AD4" w:rsidRDefault="00000000">
      <w:pPr>
        <w:pStyle w:val="ListParagraph"/>
        <w:numPr>
          <w:ilvl w:val="0"/>
          <w:numId w:val="2"/>
        </w:numPr>
        <w:spacing w:after="60" w:line="260" w:lineRule="auto"/>
      </w:pPr>
      <w:r>
        <w:rPr>
          <w:i/>
          <w:iCs/>
        </w:rPr>
        <w:t>Strand</w:t>
      </w:r>
      <w:r>
        <w:t xml:space="preserve">: Statistics and Probability – </w:t>
      </w:r>
      <w:r>
        <w:rPr>
          <w:i/>
          <w:iCs/>
        </w:rPr>
        <w:t>Big Idea</w:t>
      </w:r>
      <w:r>
        <w:t>: Data Analysis [foundational awareness]</w:t>
      </w:r>
    </w:p>
    <w:p w14:paraId="5BEE72C8" w14:textId="77777777" w:rsidR="001F7AD4" w:rsidRDefault="00000000">
      <w:pPr>
        <w:pStyle w:val="ListParagraph"/>
        <w:numPr>
          <w:ilvl w:val="0"/>
          <w:numId w:val="2"/>
        </w:numPr>
        <w:spacing w:after="60" w:line="260" w:lineRule="auto"/>
      </w:pPr>
      <w:r>
        <w:rPr>
          <w:i/>
          <w:iCs/>
        </w:rPr>
        <w:lastRenderedPageBreak/>
        <w:t>Strand</w:t>
      </w:r>
      <w:r>
        <w:t xml:space="preserve">: Statistics and Probability – </w:t>
      </w:r>
      <w:r>
        <w:rPr>
          <w:i/>
          <w:iCs/>
        </w:rPr>
        <w:t>Big Idea</w:t>
      </w:r>
      <w:r>
        <w:t xml:space="preserve">: Data Analysis – </w:t>
      </w:r>
      <w:r>
        <w:rPr>
          <w:i/>
          <w:iCs/>
        </w:rPr>
        <w:t>Skill Descriptor</w:t>
      </w:r>
      <w:r>
        <w:t>: Create and interpret graphs to solve problems. [active exploration]</w:t>
      </w:r>
    </w:p>
    <w:p w14:paraId="65B63B38" w14:textId="77777777" w:rsidR="001F7AD4" w:rsidRDefault="00000000">
      <w:pPr>
        <w:pStyle w:val="ListParagraph"/>
        <w:numPr>
          <w:ilvl w:val="0"/>
          <w:numId w:val="2"/>
        </w:numPr>
        <w:spacing w:after="60" w:line="260" w:lineRule="auto"/>
      </w:pPr>
      <w:r>
        <w:rPr>
          <w:i/>
          <w:iCs/>
        </w:rPr>
        <w:t>Strand</w:t>
      </w:r>
      <w:r>
        <w:t xml:space="preserve">: Statistics and Probability – </w:t>
      </w:r>
      <w:r>
        <w:rPr>
          <w:i/>
          <w:iCs/>
        </w:rPr>
        <w:t>Big Idea</w:t>
      </w:r>
      <w:r>
        <w:t xml:space="preserve">: Data Analysis – </w:t>
      </w:r>
      <w:r>
        <w:rPr>
          <w:i/>
          <w:iCs/>
        </w:rPr>
        <w:t>Skill Descriptor</w:t>
      </w:r>
      <w:r>
        <w:t>: Compare and critique the presentation of data. [active exploration]</w:t>
      </w:r>
    </w:p>
    <w:p w14:paraId="1B0AC802" w14:textId="77777777" w:rsidR="001F7AD4" w:rsidRDefault="00000000">
      <w:pPr>
        <w:keepNext/>
        <w:spacing w:before="160" w:after="60"/>
      </w:pPr>
      <w:r>
        <w:rPr>
          <w:b/>
          <w:bCs/>
        </w:rPr>
        <w:t>Geometry, Measurement and Finance 10</w:t>
      </w:r>
    </w:p>
    <w:p w14:paraId="07A7C773" w14:textId="77777777" w:rsidR="001F7AD4" w:rsidRDefault="00000000">
      <w:pPr>
        <w:pStyle w:val="ListParagraph"/>
        <w:numPr>
          <w:ilvl w:val="0"/>
          <w:numId w:val="2"/>
        </w:numPr>
        <w:spacing w:after="60" w:line="260" w:lineRule="auto"/>
      </w:pPr>
      <w:r>
        <w:rPr>
          <w:i/>
          <w:iCs/>
        </w:rPr>
        <w:t>Strand</w:t>
      </w:r>
      <w:r>
        <w:t xml:space="preserve">: Shape and Space – </w:t>
      </w:r>
      <w:r>
        <w:rPr>
          <w:i/>
          <w:iCs/>
        </w:rPr>
        <w:t>Big Idea</w:t>
      </w:r>
      <w:r>
        <w:t>: Measurement [foundational awareness]</w:t>
      </w:r>
    </w:p>
    <w:p w14:paraId="4A9B4EA2" w14:textId="77777777" w:rsidR="001F7AD4" w:rsidRDefault="00000000">
      <w:pPr>
        <w:pStyle w:val="ListParagraph"/>
        <w:numPr>
          <w:ilvl w:val="0"/>
          <w:numId w:val="2"/>
        </w:numPr>
        <w:spacing w:after="60" w:line="260" w:lineRule="auto"/>
      </w:pPr>
      <w:r>
        <w:rPr>
          <w:i/>
          <w:iCs/>
        </w:rPr>
        <w:t>Strand</w:t>
      </w:r>
      <w:r>
        <w:t xml:space="preserve">: Shape and Space – </w:t>
      </w:r>
      <w:r>
        <w:rPr>
          <w:i/>
          <w:iCs/>
        </w:rPr>
        <w:t>Big Idea</w:t>
      </w:r>
      <w:r>
        <w:t xml:space="preserve">: Measurement – </w:t>
      </w:r>
      <w:r>
        <w:rPr>
          <w:i/>
          <w:iCs/>
        </w:rPr>
        <w:t>Skill Descriptor</w:t>
      </w:r>
      <w:r>
        <w:t>: Solve problems using linear SI and Imperial measurements and verify solutions. [active exploration]</w:t>
      </w:r>
    </w:p>
    <w:p w14:paraId="43247E1C" w14:textId="77777777" w:rsidR="001F7AD4" w:rsidRDefault="00000000">
      <w:pPr>
        <w:pStyle w:val="ListParagraph"/>
        <w:numPr>
          <w:ilvl w:val="0"/>
          <w:numId w:val="2"/>
        </w:numPr>
        <w:spacing w:after="60" w:line="260" w:lineRule="auto"/>
      </w:pPr>
      <w:r>
        <w:rPr>
          <w:i/>
          <w:iCs/>
        </w:rPr>
        <w:t>Strand</w:t>
      </w:r>
      <w:r>
        <w:t xml:space="preserve">: Shape and Space – </w:t>
      </w:r>
      <w:r>
        <w:rPr>
          <w:i/>
          <w:iCs/>
        </w:rPr>
        <w:t>Big Idea</w:t>
      </w:r>
      <w:r>
        <w:t xml:space="preserve">: Measurement – </w:t>
      </w:r>
      <w:r>
        <w:rPr>
          <w:i/>
          <w:iCs/>
        </w:rPr>
        <w:t>Skill Descriptor</w:t>
      </w:r>
      <w:r>
        <w:t>: Solve problems that involve area using SI and Imperial measurements and verify the solutions. [active exploration]</w:t>
      </w:r>
    </w:p>
    <w:p w14:paraId="6A06C92B" w14:textId="77777777" w:rsidR="001F7AD4" w:rsidRDefault="00000000">
      <w:pPr>
        <w:pStyle w:val="ListParagraph"/>
        <w:numPr>
          <w:ilvl w:val="0"/>
          <w:numId w:val="2"/>
        </w:numPr>
        <w:spacing w:after="60" w:line="260" w:lineRule="auto"/>
      </w:pPr>
      <w:r>
        <w:rPr>
          <w:i/>
          <w:iCs/>
        </w:rPr>
        <w:t>Strand</w:t>
      </w:r>
      <w:r>
        <w:t xml:space="preserve">: Patterns and Relations – </w:t>
      </w:r>
      <w:r>
        <w:rPr>
          <w:i/>
          <w:iCs/>
        </w:rPr>
        <w:t>Big Idea</w:t>
      </w:r>
      <w:r>
        <w:t xml:space="preserve">: Algebra – </w:t>
      </w:r>
      <w:r>
        <w:rPr>
          <w:i/>
          <w:iCs/>
        </w:rPr>
        <w:t>Skill Descriptor</w:t>
      </w:r>
      <w:r>
        <w:t>: Solve contextual problems that require the manipulation and application of formulae. [active exploration]</w:t>
      </w:r>
    </w:p>
    <w:p w14:paraId="21605E06" w14:textId="77777777" w:rsidR="001F7AD4" w:rsidRDefault="00000000">
      <w:pPr>
        <w:keepNext/>
        <w:spacing w:before="280" w:after="100"/>
      </w:pPr>
      <w:r>
        <w:rPr>
          <w:b/>
          <w:bCs/>
          <w:color w:val="02568A"/>
          <w:sz w:val="36"/>
          <w:szCs w:val="36"/>
        </w:rPr>
        <w:t>What You’ll Need</w:t>
      </w:r>
    </w:p>
    <w:p w14:paraId="0903D922" w14:textId="77777777" w:rsidR="001F7AD4" w:rsidRDefault="00000000">
      <w:pPr>
        <w:pStyle w:val="ListParagraph"/>
        <w:numPr>
          <w:ilvl w:val="0"/>
          <w:numId w:val="2"/>
        </w:numPr>
        <w:spacing w:after="60" w:line="260" w:lineRule="auto"/>
      </w:pPr>
      <w:r>
        <w:t>One internet-connected device per learner or per pair</w:t>
      </w:r>
    </w:p>
    <w:p w14:paraId="73ADB5BB" w14:textId="77777777" w:rsidR="001F7AD4" w:rsidRDefault="00000000">
      <w:pPr>
        <w:pStyle w:val="ListParagraph"/>
        <w:numPr>
          <w:ilvl w:val="0"/>
          <w:numId w:val="2"/>
        </w:numPr>
        <w:spacing w:after="60" w:line="260" w:lineRule="auto"/>
      </w:pPr>
      <w:proofErr w:type="spellStart"/>
      <w:r>
        <w:t>GeoNB</w:t>
      </w:r>
      <w:proofErr w:type="spellEnd"/>
      <w:r>
        <w:t xml:space="preserve"> Map Viewer — free, no account required: </w:t>
      </w:r>
      <w:hyperlink r:id="rId6" w:history="1">
        <w:r>
          <w:rPr>
            <w:rStyle w:val="Hyperlink"/>
          </w:rPr>
          <w:t>gnb.ca/</w:t>
        </w:r>
        <w:proofErr w:type="spellStart"/>
        <w:r>
          <w:rPr>
            <w:rStyle w:val="Hyperlink"/>
          </w:rPr>
          <w:t>en</w:t>
        </w:r>
        <w:proofErr w:type="spellEnd"/>
        <w:r>
          <w:rPr>
            <w:rStyle w:val="Hyperlink"/>
          </w:rPr>
          <w:t>/campaign/</w:t>
        </w:r>
        <w:proofErr w:type="spellStart"/>
        <w:r>
          <w:rPr>
            <w:rStyle w:val="Hyperlink"/>
          </w:rPr>
          <w:t>geonb</w:t>
        </w:r>
        <w:proofErr w:type="spellEnd"/>
        <w:r>
          <w:rPr>
            <w:rStyle w:val="Hyperlink"/>
          </w:rPr>
          <w:t>/applications/ma</w:t>
        </w:r>
        <w:r>
          <w:rPr>
            <w:rStyle w:val="Hyperlink"/>
          </w:rPr>
          <w:t>p</w:t>
        </w:r>
        <w:r>
          <w:rPr>
            <w:rStyle w:val="Hyperlink"/>
          </w:rPr>
          <w:t>-viewer.html</w:t>
        </w:r>
      </w:hyperlink>
    </w:p>
    <w:p w14:paraId="6A21B29A" w14:textId="77777777" w:rsidR="001F7AD4" w:rsidRDefault="00000000">
      <w:pPr>
        <w:pStyle w:val="ListParagraph"/>
        <w:numPr>
          <w:ilvl w:val="0"/>
          <w:numId w:val="2"/>
        </w:numPr>
        <w:spacing w:after="60" w:line="260" w:lineRule="auto"/>
      </w:pPr>
      <w:proofErr w:type="spellStart"/>
      <w:r>
        <w:t>GeoNB</w:t>
      </w:r>
      <w:proofErr w:type="spellEnd"/>
      <w:r>
        <w:t xml:space="preserve"> Flood Hazard Maps — free, no account required: </w:t>
      </w:r>
      <w:hyperlink r:id="rId7" w:history="1">
        <w:r>
          <w:rPr>
            <w:rStyle w:val="Hyperlink"/>
          </w:rPr>
          <w:t>geonb.snb.ca/</w:t>
        </w:r>
        <w:proofErr w:type="spellStart"/>
        <w:r>
          <w:rPr>
            <w:rStyle w:val="Hyperlink"/>
          </w:rPr>
          <w:t>flood_hazard_maps</w:t>
        </w:r>
        <w:proofErr w:type="spellEnd"/>
      </w:hyperlink>
    </w:p>
    <w:p w14:paraId="29CDBEE6" w14:textId="77777777" w:rsidR="001F7AD4" w:rsidRDefault="00000000">
      <w:pPr>
        <w:pStyle w:val="ListParagraph"/>
        <w:numPr>
          <w:ilvl w:val="0"/>
          <w:numId w:val="2"/>
        </w:numPr>
        <w:spacing w:after="60" w:line="260" w:lineRule="auto"/>
      </w:pPr>
      <w:r>
        <w:t xml:space="preserve">Google Earth for Web, used for the measure tool — free, no sign-in required: </w:t>
      </w:r>
      <w:hyperlink r:id="rId8" w:history="1">
        <w:r>
          <w:rPr>
            <w:rStyle w:val="Hyperlink"/>
          </w:rPr>
          <w:t>earth.google.com/web</w:t>
        </w:r>
      </w:hyperlink>
    </w:p>
    <w:p w14:paraId="5521482F" w14:textId="77777777" w:rsidR="001F7AD4" w:rsidRDefault="00000000">
      <w:pPr>
        <w:pStyle w:val="ListParagraph"/>
        <w:numPr>
          <w:ilvl w:val="0"/>
          <w:numId w:val="2"/>
        </w:numPr>
        <w:spacing w:after="60" w:line="260" w:lineRule="auto"/>
      </w:pPr>
      <w:r>
        <w:t>A projector or display for the opening demonstration</w:t>
      </w:r>
    </w:p>
    <w:p w14:paraId="78DB099D" w14:textId="77777777" w:rsidR="001F7AD4" w:rsidRDefault="00000000">
      <w:pPr>
        <w:pStyle w:val="ListParagraph"/>
        <w:numPr>
          <w:ilvl w:val="0"/>
          <w:numId w:val="2"/>
        </w:numPr>
        <w:spacing w:after="60" w:line="260" w:lineRule="auto"/>
      </w:pPr>
      <w:r>
        <w:t>One printed Site Suitability Scorecard per pair, or a shared digital copy</w:t>
      </w:r>
    </w:p>
    <w:p w14:paraId="060CC460" w14:textId="77777777" w:rsidR="001F7AD4" w:rsidRDefault="00000000">
      <w:pPr>
        <w:pStyle w:val="ListParagraph"/>
        <w:numPr>
          <w:ilvl w:val="0"/>
          <w:numId w:val="2"/>
        </w:numPr>
        <w:spacing w:after="60" w:line="260" w:lineRule="auto"/>
      </w:pPr>
      <w:r>
        <w:t>Calculators</w:t>
      </w:r>
    </w:p>
    <w:p w14:paraId="32D63F6A" w14:textId="77777777" w:rsidR="001F7AD4" w:rsidRDefault="00000000">
      <w:pPr>
        <w:pStyle w:val="ListParagraph"/>
        <w:numPr>
          <w:ilvl w:val="0"/>
          <w:numId w:val="2"/>
        </w:numPr>
        <w:spacing w:after="60" w:line="260" w:lineRule="auto"/>
      </w:pPr>
      <w:r>
        <w:t>Optional, for the unplugged opening: three clear transparency sheets and dry-erase markers</w:t>
      </w:r>
    </w:p>
    <w:p w14:paraId="604B833F" w14:textId="77777777" w:rsidR="001F7AD4" w:rsidRDefault="00000000">
      <w:pPr>
        <w:keepNext/>
        <w:spacing w:before="280" w:after="100"/>
      </w:pPr>
      <w:r>
        <w:rPr>
          <w:b/>
          <w:bCs/>
          <w:color w:val="02568A"/>
          <w:sz w:val="36"/>
          <w:szCs w:val="36"/>
        </w:rPr>
        <w:t>Instructions</w:t>
      </w:r>
    </w:p>
    <w:p w14:paraId="4BF6FB80" w14:textId="77777777" w:rsidR="001F7AD4" w:rsidRDefault="00000000">
      <w:pPr>
        <w:keepNext/>
        <w:spacing w:before="160" w:after="60"/>
      </w:pPr>
      <w:r>
        <w:rPr>
          <w:b/>
          <w:bCs/>
        </w:rPr>
        <w:t>Before the lesson (about 10 minutes of prep)</w:t>
      </w:r>
    </w:p>
    <w:p w14:paraId="5D1B41C1" w14:textId="03B045AF" w:rsidR="001F7AD4" w:rsidRDefault="00000000">
      <w:pPr>
        <w:spacing w:after="120" w:line="260" w:lineRule="auto"/>
      </w:pPr>
      <w:r>
        <w:t xml:space="preserve">Choose three real candidate sites in or near your community — an empty lot, a school or community hall, a parking lot, a closed business. Sites that are genuinely different from one another produce the most interesting disagreement. Note the address or a </w:t>
      </w:r>
      <w:r>
        <w:lastRenderedPageBreak/>
        <w:t xml:space="preserve">dropped pin for </w:t>
      </w:r>
      <w:proofErr w:type="gramStart"/>
      <w:r>
        <w:t>each, and</w:t>
      </w:r>
      <w:proofErr w:type="gramEnd"/>
      <w:r>
        <w:t xml:space="preserve"> decide what counts as the centre of the service area you are trying to cover. Check each site once yourself in the flood hazard viewer so nothing surprises </w:t>
      </w:r>
      <w:proofErr w:type="gramStart"/>
      <w:r>
        <w:t>you</w:t>
      </w:r>
      <w:proofErr w:type="gramEnd"/>
      <w:r>
        <w:t xml:space="preserve"> mid-lesson.</w:t>
      </w:r>
    </w:p>
    <w:p w14:paraId="79B6644C" w14:textId="66C311F3" w:rsidR="001F7AD4" w:rsidRDefault="00000000">
      <w:pPr>
        <w:pStyle w:val="ListParagraph"/>
        <w:numPr>
          <w:ilvl w:val="0"/>
          <w:numId w:val="3"/>
        </w:numPr>
        <w:spacing w:after="60" w:line="260" w:lineRule="auto"/>
      </w:pPr>
      <w:r>
        <w:rPr>
          <w:b/>
          <w:bCs/>
        </w:rPr>
        <w:t xml:space="preserve">Layer up (10 minutes). </w:t>
      </w:r>
      <w:r w:rsidR="003244B7">
        <w:t>Display</w:t>
      </w:r>
      <w:r>
        <w:t xml:space="preserve"> the </w:t>
      </w:r>
      <w:proofErr w:type="spellStart"/>
      <w:r>
        <w:t>GeoNB</w:t>
      </w:r>
      <w:proofErr w:type="spellEnd"/>
      <w:r>
        <w:t xml:space="preserve"> Map Viewer on </w:t>
      </w:r>
      <w:r w:rsidR="003244B7">
        <w:t xml:space="preserve">your </w:t>
      </w:r>
      <w:proofErr w:type="spellStart"/>
      <w:r w:rsidR="003244B7">
        <w:t>SMARTBoard</w:t>
      </w:r>
      <w:proofErr w:type="spellEnd"/>
      <w:r w:rsidR="003244B7">
        <w:t xml:space="preserve"> or other screen</w:t>
      </w:r>
      <w:r>
        <w:t xml:space="preserve">, zoomed to your community. Turn layers on one at a time and ask what each layer alone can and cannot tell you. Then switch to the Flood Hazard Maps viewer and add the flood hazard layer. Ask the question that drives the lesson: no single layer answers "where should we build this," so how do you combine them? </w:t>
      </w:r>
    </w:p>
    <w:p w14:paraId="6532B9FC" w14:textId="77777777" w:rsidR="001F7AD4" w:rsidRDefault="00000000">
      <w:pPr>
        <w:pStyle w:val="ListParagraph"/>
        <w:numPr>
          <w:ilvl w:val="0"/>
          <w:numId w:val="3"/>
        </w:numPr>
        <w:spacing w:after="60" w:line="260" w:lineRule="auto"/>
      </w:pPr>
      <w:r>
        <w:rPr>
          <w:b/>
          <w:bCs/>
        </w:rPr>
        <w:t xml:space="preserve">Meet the GIS specialist (5 minutes). </w:t>
      </w:r>
      <w:r>
        <w:t>Tell learners the flood layer they just clicked was produced by GIS specialists at the Department of Environment and Local Government, and that it now shapes where houses get insured and where roads get rebuilt. Name the job, the training routes, and the range of workplaces. Keep this short — the point is that a real person made the map they are about to use.</w:t>
      </w:r>
    </w:p>
    <w:p w14:paraId="6615D47B" w14:textId="77777777" w:rsidR="001F7AD4" w:rsidRDefault="00000000">
      <w:pPr>
        <w:pStyle w:val="ListParagraph"/>
        <w:numPr>
          <w:ilvl w:val="0"/>
          <w:numId w:val="3"/>
        </w:numPr>
        <w:spacing w:after="60" w:line="260" w:lineRule="auto"/>
      </w:pPr>
      <w:r>
        <w:rPr>
          <w:b/>
          <w:bCs/>
        </w:rPr>
        <w:t xml:space="preserve">Model the mathematics (10 minutes). </w:t>
      </w:r>
      <w:r>
        <w:t>Introduce weighted overlay. Four criteria matter, but not equally, so each gets a weight: flood risk 4, distance to the centre of the service area 3, usable lot area 2, access from a main road 1. Each site earns a score from 1 to 5 on each criterion, and the suitability score is the weighted mean:</w:t>
      </w:r>
    </w:p>
    <w:p w14:paraId="6E856E03" w14:textId="77777777" w:rsidR="001F7AD4" w:rsidRDefault="00000000">
      <w:pPr>
        <w:spacing w:before="100" w:after="100" w:line="260" w:lineRule="auto"/>
        <w:ind w:left="460"/>
        <w:jc w:val="center"/>
      </w:pPr>
      <w:r>
        <w:rPr>
          <w:b/>
          <w:bCs/>
          <w:sz w:val="26"/>
          <w:szCs w:val="26"/>
        </w:rPr>
        <w:t>S = (4F + 3D + 2A + 1R) ÷ 10</w:t>
      </w:r>
    </w:p>
    <w:p w14:paraId="0FDA688C" w14:textId="77777777" w:rsidR="001F7AD4" w:rsidRDefault="00000000">
      <w:pPr>
        <w:spacing w:after="120" w:line="260" w:lineRule="auto"/>
        <w:ind w:left="460"/>
      </w:pPr>
      <w:r>
        <w:t>Work one criterion through on the board so learners see the whole chain: measure, score, weight, combine. Ask why the denominator is 10 and what the largest possible value of S is — if they can explain why S can never exceed 5, they understand the formula rather than the recipe.</w:t>
      </w:r>
    </w:p>
    <w:p w14:paraId="48E97549" w14:textId="77777777" w:rsidR="001F7AD4" w:rsidRDefault="00000000">
      <w:pPr>
        <w:pStyle w:val="ListParagraph"/>
        <w:numPr>
          <w:ilvl w:val="0"/>
          <w:numId w:val="3"/>
        </w:numPr>
        <w:spacing w:after="60" w:line="260" w:lineRule="auto"/>
      </w:pPr>
      <w:r>
        <w:rPr>
          <w:b/>
          <w:bCs/>
        </w:rPr>
        <w:t xml:space="preserve">Measure and score in pairs (30 minutes). </w:t>
      </w:r>
      <w:r>
        <w:t xml:space="preserve">Pairs open Google Earth for Web, find each candidate site, and use the measure tool to record the straight-line distance from the site to the centre of the service area, the usable area of the lot, and the distance to the nearest main road. Measurements go in metres and square metres. Then they check each site against the flood hazard layer in </w:t>
      </w:r>
      <w:proofErr w:type="spellStart"/>
      <w:r>
        <w:t>GeoNB</w:t>
      </w:r>
      <w:proofErr w:type="spellEnd"/>
      <w:r>
        <w:t xml:space="preserve">. Using the scoring key below, they convert every measurement into a 1–5 score, fill in the scorecard, and compute S for all three sites. The </w:t>
      </w:r>
      <w:proofErr w:type="spellStart"/>
      <w:r>
        <w:t>GeoNB</w:t>
      </w:r>
      <w:proofErr w:type="spellEnd"/>
      <w:r>
        <w:t xml:space="preserve"> Map Viewer has its own measurement tools, so a class that prefers to stay in one window can do the whole step there instead.</w:t>
      </w:r>
    </w:p>
    <w:p w14:paraId="3F4554BA" w14:textId="77777777" w:rsidR="001F7AD4" w:rsidRDefault="00000000">
      <w:pPr>
        <w:pStyle w:val="ListParagraph"/>
        <w:numPr>
          <w:ilvl w:val="0"/>
          <w:numId w:val="3"/>
        </w:numPr>
        <w:spacing w:after="60" w:line="260" w:lineRule="auto"/>
      </w:pPr>
      <w:r>
        <w:rPr>
          <w:b/>
          <w:bCs/>
        </w:rPr>
        <w:t xml:space="preserve">Defend your recommendation (10 minutes). </w:t>
      </w:r>
      <w:r>
        <w:t xml:space="preserve">Each pair states its winning site and its suitability score in one sentence, then gives the single number that made the difference. Where </w:t>
      </w:r>
      <w:r>
        <w:lastRenderedPageBreak/>
        <w:t xml:space="preserve">pairs disagree, trace the disagreement back to a measurement or a scoring decision rather than to opinion. Close with the question a GIS specialist gets asked constantly: who decided flood risk was worth four times as much as road access, and what happens to the answer if </w:t>
      </w:r>
      <w:proofErr w:type="gramStart"/>
      <w:r>
        <w:t>that changes</w:t>
      </w:r>
      <w:proofErr w:type="gramEnd"/>
      <w:r>
        <w:t>?</w:t>
      </w:r>
    </w:p>
    <w:p w14:paraId="61D029ED" w14:textId="77777777" w:rsidR="001F7AD4" w:rsidRDefault="00000000">
      <w:pPr>
        <w:keepNext/>
        <w:spacing w:before="160" w:after="60"/>
      </w:pPr>
      <w:r>
        <w:rPr>
          <w:b/>
          <w:bCs/>
        </w:rPr>
        <w:t>Scoring key</w:t>
      </w:r>
    </w:p>
    <w:p w14:paraId="09E55872" w14:textId="77777777" w:rsidR="001F7AD4" w:rsidRDefault="00000000">
      <w:pPr>
        <w:spacing w:after="80" w:line="260" w:lineRule="auto"/>
      </w:pPr>
      <w:r>
        <w:t>Learners convert each measurement into a score from 1 to 5.</w:t>
      </w:r>
    </w:p>
    <w:p w14:paraId="3E7EBDBE" w14:textId="77777777" w:rsidR="001F7AD4" w:rsidRDefault="00000000">
      <w:pPr>
        <w:pStyle w:val="ListParagraph"/>
        <w:numPr>
          <w:ilvl w:val="0"/>
          <w:numId w:val="2"/>
        </w:numPr>
        <w:spacing w:after="60" w:line="260" w:lineRule="auto"/>
      </w:pPr>
      <w:r>
        <w:rPr>
          <w:b/>
          <w:bCs/>
        </w:rPr>
        <w:t xml:space="preserve">Flood risk (F), weight 4: </w:t>
      </w:r>
      <w:r>
        <w:t>entirely outside all flood hazard areas = 5; outside the current hazard area but inside the projected 2100 hazard area = 3; inside the current flood hazard area = 1.</w:t>
      </w:r>
    </w:p>
    <w:p w14:paraId="1F4201EF" w14:textId="77777777" w:rsidR="001F7AD4" w:rsidRDefault="00000000">
      <w:pPr>
        <w:pStyle w:val="ListParagraph"/>
        <w:numPr>
          <w:ilvl w:val="0"/>
          <w:numId w:val="2"/>
        </w:numPr>
        <w:spacing w:after="60" w:line="260" w:lineRule="auto"/>
      </w:pPr>
      <w:r>
        <w:rPr>
          <w:b/>
          <w:bCs/>
        </w:rPr>
        <w:t xml:space="preserve">Distance to the centre of the service area (D), weight 3: </w:t>
      </w:r>
      <w:r>
        <w:t>500 m or less = 5; 501–1 000 m = 4; 1 001–2 000 m = 3; 2 001–3 500 m = 2; more than 3 500 m = 1.</w:t>
      </w:r>
    </w:p>
    <w:p w14:paraId="4250F47B" w14:textId="77777777" w:rsidR="001F7AD4" w:rsidRDefault="00000000">
      <w:pPr>
        <w:pStyle w:val="ListParagraph"/>
        <w:numPr>
          <w:ilvl w:val="0"/>
          <w:numId w:val="2"/>
        </w:numPr>
        <w:spacing w:after="60" w:line="260" w:lineRule="auto"/>
      </w:pPr>
      <w:r>
        <w:rPr>
          <w:b/>
          <w:bCs/>
        </w:rPr>
        <w:t xml:space="preserve">Usable lot area (A), weight 2: </w:t>
      </w:r>
      <w:r>
        <w:t>5 000 m² or more = 5; 3 000–4 999 m² = 4; 1 500–2 999 m² = 3; 750–1 499 m² = 2; less than 750 m² = 1.</w:t>
      </w:r>
    </w:p>
    <w:p w14:paraId="36BFF78A" w14:textId="77777777" w:rsidR="001F7AD4" w:rsidRDefault="00000000">
      <w:pPr>
        <w:pStyle w:val="ListParagraph"/>
        <w:numPr>
          <w:ilvl w:val="0"/>
          <w:numId w:val="2"/>
        </w:numPr>
        <w:spacing w:after="60" w:line="260" w:lineRule="auto"/>
      </w:pPr>
      <w:r>
        <w:rPr>
          <w:b/>
          <w:bCs/>
        </w:rPr>
        <w:t xml:space="preserve">Access from a main road (R), weight 1: </w:t>
      </w:r>
      <w:r>
        <w:t>100 m or less = 5; 101–300 m = 4; 301–600 m = 3; 601–1 000 m = 2; more than 1 000 m = 1.</w:t>
      </w:r>
    </w:p>
    <w:p w14:paraId="7D882F56" w14:textId="77777777" w:rsidR="001F7AD4" w:rsidRDefault="00000000">
      <w:pPr>
        <w:keepNext/>
        <w:spacing w:before="160" w:after="60"/>
      </w:pPr>
      <w:r>
        <w:rPr>
          <w:b/>
          <w:bCs/>
        </w:rPr>
        <w:t>Site Suitability Scorecard</w:t>
      </w:r>
    </w:p>
    <w:p w14:paraId="6C8CFE03" w14:textId="77777777" w:rsidR="001F7AD4" w:rsidRDefault="001F7AD4"/>
    <w:tbl>
      <w:tblPr>
        <w:tblW w:w="8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90"/>
        <w:gridCol w:w="990"/>
        <w:gridCol w:w="1510"/>
        <w:gridCol w:w="1510"/>
        <w:gridCol w:w="1510"/>
      </w:tblGrid>
      <w:tr w:rsidR="001F7AD4" w14:paraId="482AB08D" w14:textId="77777777">
        <w:tblPrEx>
          <w:tblCellMar>
            <w:top w:w="0" w:type="dxa"/>
            <w:bottom w:w="0" w:type="dxa"/>
          </w:tblCellMar>
        </w:tblPrEx>
        <w:trPr>
          <w:tblHeader/>
        </w:trPr>
        <w:tc>
          <w:tcPr>
            <w:tcW w:w="2490" w:type="dxa"/>
            <w:tcBorders>
              <w:top w:val="single" w:sz="4" w:space="0" w:color="BFBFBF"/>
              <w:left w:val="single" w:sz="4" w:space="0" w:color="BFBFBF"/>
              <w:bottom w:val="single" w:sz="4" w:space="0" w:color="BFBFBF"/>
              <w:right w:val="single" w:sz="4" w:space="0" w:color="BFBFBF"/>
            </w:tcBorders>
            <w:shd w:val="clear" w:color="auto" w:fill="02568A"/>
            <w:tcMar>
              <w:top w:w="60" w:type="dxa"/>
              <w:left w:w="80" w:type="dxa"/>
              <w:bottom w:w="60" w:type="dxa"/>
              <w:right w:w="80" w:type="dxa"/>
            </w:tcMar>
          </w:tcPr>
          <w:p w14:paraId="77F99805" w14:textId="77777777" w:rsidR="001F7AD4" w:rsidRDefault="00000000">
            <w:r>
              <w:rPr>
                <w:b/>
                <w:bCs/>
                <w:color w:val="FFFFFF"/>
                <w:sz w:val="20"/>
                <w:szCs w:val="20"/>
              </w:rPr>
              <w:t>Criterion</w:t>
            </w:r>
          </w:p>
        </w:tc>
        <w:tc>
          <w:tcPr>
            <w:tcW w:w="990" w:type="dxa"/>
            <w:tcBorders>
              <w:top w:val="single" w:sz="4" w:space="0" w:color="BFBFBF"/>
              <w:left w:val="single" w:sz="4" w:space="0" w:color="BFBFBF"/>
              <w:bottom w:val="single" w:sz="4" w:space="0" w:color="BFBFBF"/>
              <w:right w:val="single" w:sz="4" w:space="0" w:color="BFBFBF"/>
            </w:tcBorders>
            <w:shd w:val="clear" w:color="auto" w:fill="02568A"/>
            <w:tcMar>
              <w:top w:w="60" w:type="dxa"/>
              <w:left w:w="80" w:type="dxa"/>
              <w:bottom w:w="60" w:type="dxa"/>
              <w:right w:w="80" w:type="dxa"/>
            </w:tcMar>
          </w:tcPr>
          <w:p w14:paraId="3D49FD6A" w14:textId="77777777" w:rsidR="001F7AD4" w:rsidRDefault="00000000">
            <w:r>
              <w:rPr>
                <w:b/>
                <w:bCs/>
                <w:color w:val="FFFFFF"/>
                <w:sz w:val="20"/>
                <w:szCs w:val="20"/>
              </w:rPr>
              <w:t>Weight</w:t>
            </w:r>
          </w:p>
        </w:tc>
        <w:tc>
          <w:tcPr>
            <w:tcW w:w="1510" w:type="dxa"/>
            <w:tcBorders>
              <w:top w:val="single" w:sz="4" w:space="0" w:color="BFBFBF"/>
              <w:left w:val="single" w:sz="4" w:space="0" w:color="BFBFBF"/>
              <w:bottom w:val="single" w:sz="4" w:space="0" w:color="BFBFBF"/>
              <w:right w:val="single" w:sz="4" w:space="0" w:color="BFBFBF"/>
            </w:tcBorders>
            <w:shd w:val="clear" w:color="auto" w:fill="02568A"/>
            <w:tcMar>
              <w:top w:w="60" w:type="dxa"/>
              <w:left w:w="80" w:type="dxa"/>
              <w:bottom w:w="60" w:type="dxa"/>
              <w:right w:w="80" w:type="dxa"/>
            </w:tcMar>
          </w:tcPr>
          <w:p w14:paraId="5A8BA040" w14:textId="77777777" w:rsidR="001F7AD4" w:rsidRDefault="00000000">
            <w:r>
              <w:rPr>
                <w:b/>
                <w:bCs/>
                <w:color w:val="FFFFFF"/>
                <w:sz w:val="20"/>
                <w:szCs w:val="20"/>
              </w:rPr>
              <w:t>Site A score</w:t>
            </w:r>
          </w:p>
        </w:tc>
        <w:tc>
          <w:tcPr>
            <w:tcW w:w="1510" w:type="dxa"/>
            <w:tcBorders>
              <w:top w:val="single" w:sz="4" w:space="0" w:color="BFBFBF"/>
              <w:left w:val="single" w:sz="4" w:space="0" w:color="BFBFBF"/>
              <w:bottom w:val="single" w:sz="4" w:space="0" w:color="BFBFBF"/>
              <w:right w:val="single" w:sz="4" w:space="0" w:color="BFBFBF"/>
            </w:tcBorders>
            <w:shd w:val="clear" w:color="auto" w:fill="02568A"/>
            <w:tcMar>
              <w:top w:w="60" w:type="dxa"/>
              <w:left w:w="80" w:type="dxa"/>
              <w:bottom w:w="60" w:type="dxa"/>
              <w:right w:w="80" w:type="dxa"/>
            </w:tcMar>
          </w:tcPr>
          <w:p w14:paraId="398FA1CC" w14:textId="77777777" w:rsidR="001F7AD4" w:rsidRDefault="00000000">
            <w:r>
              <w:rPr>
                <w:b/>
                <w:bCs/>
                <w:color w:val="FFFFFF"/>
                <w:sz w:val="20"/>
                <w:szCs w:val="20"/>
              </w:rPr>
              <w:t>Site B score</w:t>
            </w:r>
          </w:p>
        </w:tc>
        <w:tc>
          <w:tcPr>
            <w:tcW w:w="1510" w:type="dxa"/>
            <w:tcBorders>
              <w:top w:val="single" w:sz="4" w:space="0" w:color="BFBFBF"/>
              <w:left w:val="single" w:sz="4" w:space="0" w:color="BFBFBF"/>
              <w:bottom w:val="single" w:sz="4" w:space="0" w:color="BFBFBF"/>
              <w:right w:val="single" w:sz="4" w:space="0" w:color="BFBFBF"/>
            </w:tcBorders>
            <w:shd w:val="clear" w:color="auto" w:fill="02568A"/>
            <w:tcMar>
              <w:top w:w="60" w:type="dxa"/>
              <w:left w:w="80" w:type="dxa"/>
              <w:bottom w:w="60" w:type="dxa"/>
              <w:right w:w="80" w:type="dxa"/>
            </w:tcMar>
          </w:tcPr>
          <w:p w14:paraId="563EF430" w14:textId="77777777" w:rsidR="001F7AD4" w:rsidRDefault="00000000">
            <w:r>
              <w:rPr>
                <w:b/>
                <w:bCs/>
                <w:color w:val="FFFFFF"/>
                <w:sz w:val="20"/>
                <w:szCs w:val="20"/>
              </w:rPr>
              <w:t>Site C score</w:t>
            </w:r>
          </w:p>
        </w:tc>
      </w:tr>
      <w:tr w:rsidR="001F7AD4" w14:paraId="24F202B3" w14:textId="77777777">
        <w:tblPrEx>
          <w:tblCellMar>
            <w:top w:w="0" w:type="dxa"/>
            <w:bottom w:w="0" w:type="dxa"/>
          </w:tblCellMar>
        </w:tblPrEx>
        <w:tc>
          <w:tcPr>
            <w:tcW w:w="249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tcPr>
          <w:p w14:paraId="28C3E645" w14:textId="77777777" w:rsidR="001F7AD4" w:rsidRDefault="00000000">
            <w:r>
              <w:rPr>
                <w:sz w:val="20"/>
                <w:szCs w:val="20"/>
              </w:rPr>
              <w:t>Distance to the centre of the service area</w:t>
            </w:r>
          </w:p>
        </w:tc>
        <w:tc>
          <w:tcPr>
            <w:tcW w:w="99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tcPr>
          <w:p w14:paraId="7E659EC2" w14:textId="77777777" w:rsidR="001F7AD4" w:rsidRDefault="00000000">
            <w:pPr>
              <w:jc w:val="center"/>
            </w:pPr>
            <w:r>
              <w:rPr>
                <w:sz w:val="20"/>
                <w:szCs w:val="20"/>
              </w:rPr>
              <w:t>3</w:t>
            </w:r>
          </w:p>
        </w:tc>
        <w:tc>
          <w:tcPr>
            <w:tcW w:w="151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tcPr>
          <w:p w14:paraId="1B887370" w14:textId="77777777" w:rsidR="001F7AD4" w:rsidRDefault="001F7AD4">
            <w:pPr>
              <w:jc w:val="center"/>
            </w:pPr>
          </w:p>
        </w:tc>
        <w:tc>
          <w:tcPr>
            <w:tcW w:w="151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tcPr>
          <w:p w14:paraId="5CC14602" w14:textId="77777777" w:rsidR="001F7AD4" w:rsidRDefault="001F7AD4">
            <w:pPr>
              <w:jc w:val="center"/>
            </w:pPr>
          </w:p>
        </w:tc>
        <w:tc>
          <w:tcPr>
            <w:tcW w:w="151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tcPr>
          <w:p w14:paraId="7DA7AF03" w14:textId="77777777" w:rsidR="001F7AD4" w:rsidRDefault="001F7AD4">
            <w:pPr>
              <w:jc w:val="center"/>
            </w:pPr>
          </w:p>
        </w:tc>
      </w:tr>
      <w:tr w:rsidR="001F7AD4" w14:paraId="2D7E495C" w14:textId="77777777">
        <w:tblPrEx>
          <w:tblCellMar>
            <w:top w:w="0" w:type="dxa"/>
            <w:bottom w:w="0" w:type="dxa"/>
          </w:tblCellMar>
        </w:tblPrEx>
        <w:tc>
          <w:tcPr>
            <w:tcW w:w="2490" w:type="dxa"/>
            <w:tcBorders>
              <w:top w:val="single" w:sz="4" w:space="0" w:color="BFBFBF"/>
              <w:left w:val="single" w:sz="4" w:space="0" w:color="BFBFBF"/>
              <w:bottom w:val="single" w:sz="4" w:space="0" w:color="BFBFBF"/>
              <w:right w:val="single" w:sz="4" w:space="0" w:color="BFBFBF"/>
            </w:tcBorders>
            <w:shd w:val="clear" w:color="auto" w:fill="F2F6F9"/>
            <w:tcMar>
              <w:top w:w="60" w:type="dxa"/>
              <w:left w:w="80" w:type="dxa"/>
              <w:bottom w:w="60" w:type="dxa"/>
              <w:right w:w="80" w:type="dxa"/>
            </w:tcMar>
          </w:tcPr>
          <w:p w14:paraId="735E4333" w14:textId="77777777" w:rsidR="001F7AD4" w:rsidRDefault="00000000">
            <w:r>
              <w:rPr>
                <w:sz w:val="20"/>
                <w:szCs w:val="20"/>
              </w:rPr>
              <w:t>Usable lot area</w:t>
            </w:r>
          </w:p>
        </w:tc>
        <w:tc>
          <w:tcPr>
            <w:tcW w:w="990" w:type="dxa"/>
            <w:tcBorders>
              <w:top w:val="single" w:sz="4" w:space="0" w:color="BFBFBF"/>
              <w:left w:val="single" w:sz="4" w:space="0" w:color="BFBFBF"/>
              <w:bottom w:val="single" w:sz="4" w:space="0" w:color="BFBFBF"/>
              <w:right w:val="single" w:sz="4" w:space="0" w:color="BFBFBF"/>
            </w:tcBorders>
            <w:shd w:val="clear" w:color="auto" w:fill="F2F6F9"/>
            <w:tcMar>
              <w:top w:w="60" w:type="dxa"/>
              <w:left w:w="80" w:type="dxa"/>
              <w:bottom w:w="60" w:type="dxa"/>
              <w:right w:w="80" w:type="dxa"/>
            </w:tcMar>
          </w:tcPr>
          <w:p w14:paraId="0244E1E2" w14:textId="77777777" w:rsidR="001F7AD4" w:rsidRDefault="00000000">
            <w:pPr>
              <w:jc w:val="center"/>
            </w:pPr>
            <w:r>
              <w:rPr>
                <w:sz w:val="20"/>
                <w:szCs w:val="20"/>
              </w:rPr>
              <w:t>2</w:t>
            </w:r>
          </w:p>
        </w:tc>
        <w:tc>
          <w:tcPr>
            <w:tcW w:w="1510" w:type="dxa"/>
            <w:tcBorders>
              <w:top w:val="single" w:sz="4" w:space="0" w:color="BFBFBF"/>
              <w:left w:val="single" w:sz="4" w:space="0" w:color="BFBFBF"/>
              <w:bottom w:val="single" w:sz="4" w:space="0" w:color="BFBFBF"/>
              <w:right w:val="single" w:sz="4" w:space="0" w:color="BFBFBF"/>
            </w:tcBorders>
            <w:shd w:val="clear" w:color="auto" w:fill="F2F6F9"/>
            <w:tcMar>
              <w:top w:w="60" w:type="dxa"/>
              <w:left w:w="80" w:type="dxa"/>
              <w:bottom w:w="60" w:type="dxa"/>
              <w:right w:w="80" w:type="dxa"/>
            </w:tcMar>
          </w:tcPr>
          <w:p w14:paraId="279A533A" w14:textId="77777777" w:rsidR="001F7AD4" w:rsidRDefault="001F7AD4">
            <w:pPr>
              <w:jc w:val="center"/>
            </w:pPr>
          </w:p>
        </w:tc>
        <w:tc>
          <w:tcPr>
            <w:tcW w:w="1510" w:type="dxa"/>
            <w:tcBorders>
              <w:top w:val="single" w:sz="4" w:space="0" w:color="BFBFBF"/>
              <w:left w:val="single" w:sz="4" w:space="0" w:color="BFBFBF"/>
              <w:bottom w:val="single" w:sz="4" w:space="0" w:color="BFBFBF"/>
              <w:right w:val="single" w:sz="4" w:space="0" w:color="BFBFBF"/>
            </w:tcBorders>
            <w:shd w:val="clear" w:color="auto" w:fill="F2F6F9"/>
            <w:tcMar>
              <w:top w:w="60" w:type="dxa"/>
              <w:left w:w="80" w:type="dxa"/>
              <w:bottom w:w="60" w:type="dxa"/>
              <w:right w:w="80" w:type="dxa"/>
            </w:tcMar>
          </w:tcPr>
          <w:p w14:paraId="66778D6B" w14:textId="77777777" w:rsidR="001F7AD4" w:rsidRDefault="001F7AD4">
            <w:pPr>
              <w:jc w:val="center"/>
            </w:pPr>
          </w:p>
        </w:tc>
        <w:tc>
          <w:tcPr>
            <w:tcW w:w="1510" w:type="dxa"/>
            <w:tcBorders>
              <w:top w:val="single" w:sz="4" w:space="0" w:color="BFBFBF"/>
              <w:left w:val="single" w:sz="4" w:space="0" w:color="BFBFBF"/>
              <w:bottom w:val="single" w:sz="4" w:space="0" w:color="BFBFBF"/>
              <w:right w:val="single" w:sz="4" w:space="0" w:color="BFBFBF"/>
            </w:tcBorders>
            <w:shd w:val="clear" w:color="auto" w:fill="F2F6F9"/>
            <w:tcMar>
              <w:top w:w="60" w:type="dxa"/>
              <w:left w:w="80" w:type="dxa"/>
              <w:bottom w:w="60" w:type="dxa"/>
              <w:right w:w="80" w:type="dxa"/>
            </w:tcMar>
          </w:tcPr>
          <w:p w14:paraId="13793F4E" w14:textId="77777777" w:rsidR="001F7AD4" w:rsidRDefault="001F7AD4">
            <w:pPr>
              <w:jc w:val="center"/>
            </w:pPr>
          </w:p>
        </w:tc>
      </w:tr>
      <w:tr w:rsidR="001F7AD4" w14:paraId="198557AF" w14:textId="77777777">
        <w:tblPrEx>
          <w:tblCellMar>
            <w:top w:w="0" w:type="dxa"/>
            <w:bottom w:w="0" w:type="dxa"/>
          </w:tblCellMar>
        </w:tblPrEx>
        <w:tc>
          <w:tcPr>
            <w:tcW w:w="249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tcPr>
          <w:p w14:paraId="60D126D6" w14:textId="77777777" w:rsidR="001F7AD4" w:rsidRDefault="00000000">
            <w:r>
              <w:rPr>
                <w:sz w:val="20"/>
                <w:szCs w:val="20"/>
              </w:rPr>
              <w:t>Flood risk</w:t>
            </w:r>
          </w:p>
        </w:tc>
        <w:tc>
          <w:tcPr>
            <w:tcW w:w="99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tcPr>
          <w:p w14:paraId="52CBC678" w14:textId="77777777" w:rsidR="001F7AD4" w:rsidRDefault="00000000">
            <w:pPr>
              <w:jc w:val="center"/>
            </w:pPr>
            <w:r>
              <w:rPr>
                <w:sz w:val="20"/>
                <w:szCs w:val="20"/>
              </w:rPr>
              <w:t>4</w:t>
            </w:r>
          </w:p>
        </w:tc>
        <w:tc>
          <w:tcPr>
            <w:tcW w:w="151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tcPr>
          <w:p w14:paraId="6E89C48E" w14:textId="77777777" w:rsidR="001F7AD4" w:rsidRDefault="001F7AD4">
            <w:pPr>
              <w:jc w:val="center"/>
            </w:pPr>
          </w:p>
        </w:tc>
        <w:tc>
          <w:tcPr>
            <w:tcW w:w="151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tcPr>
          <w:p w14:paraId="3646690F" w14:textId="77777777" w:rsidR="001F7AD4" w:rsidRDefault="001F7AD4">
            <w:pPr>
              <w:jc w:val="center"/>
            </w:pPr>
          </w:p>
        </w:tc>
        <w:tc>
          <w:tcPr>
            <w:tcW w:w="1510" w:type="dxa"/>
            <w:tcBorders>
              <w:top w:val="single" w:sz="4" w:space="0" w:color="BFBFBF"/>
              <w:left w:val="single" w:sz="4" w:space="0" w:color="BFBFBF"/>
              <w:bottom w:val="single" w:sz="4" w:space="0" w:color="BFBFBF"/>
              <w:right w:val="single" w:sz="4" w:space="0" w:color="BFBFBF"/>
            </w:tcBorders>
            <w:tcMar>
              <w:top w:w="60" w:type="dxa"/>
              <w:left w:w="80" w:type="dxa"/>
              <w:bottom w:w="60" w:type="dxa"/>
              <w:right w:w="80" w:type="dxa"/>
            </w:tcMar>
          </w:tcPr>
          <w:p w14:paraId="46392676" w14:textId="77777777" w:rsidR="001F7AD4" w:rsidRDefault="001F7AD4">
            <w:pPr>
              <w:jc w:val="center"/>
            </w:pPr>
          </w:p>
        </w:tc>
      </w:tr>
      <w:tr w:rsidR="001F7AD4" w14:paraId="086251EF" w14:textId="77777777">
        <w:tblPrEx>
          <w:tblCellMar>
            <w:top w:w="0" w:type="dxa"/>
            <w:bottom w:w="0" w:type="dxa"/>
          </w:tblCellMar>
        </w:tblPrEx>
        <w:tc>
          <w:tcPr>
            <w:tcW w:w="2490" w:type="dxa"/>
            <w:tcBorders>
              <w:top w:val="single" w:sz="4" w:space="0" w:color="BFBFBF"/>
              <w:left w:val="single" w:sz="4" w:space="0" w:color="BFBFBF"/>
              <w:bottom w:val="single" w:sz="4" w:space="0" w:color="BFBFBF"/>
              <w:right w:val="single" w:sz="4" w:space="0" w:color="BFBFBF"/>
            </w:tcBorders>
            <w:shd w:val="clear" w:color="auto" w:fill="F2F6F9"/>
            <w:tcMar>
              <w:top w:w="60" w:type="dxa"/>
              <w:left w:w="80" w:type="dxa"/>
              <w:bottom w:w="60" w:type="dxa"/>
              <w:right w:w="80" w:type="dxa"/>
            </w:tcMar>
          </w:tcPr>
          <w:p w14:paraId="2B818DBF" w14:textId="77777777" w:rsidR="001F7AD4" w:rsidRDefault="00000000">
            <w:r>
              <w:rPr>
                <w:sz w:val="20"/>
                <w:szCs w:val="20"/>
              </w:rPr>
              <w:t>Access from a main road</w:t>
            </w:r>
          </w:p>
        </w:tc>
        <w:tc>
          <w:tcPr>
            <w:tcW w:w="990" w:type="dxa"/>
            <w:tcBorders>
              <w:top w:val="single" w:sz="4" w:space="0" w:color="BFBFBF"/>
              <w:left w:val="single" w:sz="4" w:space="0" w:color="BFBFBF"/>
              <w:bottom w:val="single" w:sz="4" w:space="0" w:color="BFBFBF"/>
              <w:right w:val="single" w:sz="4" w:space="0" w:color="BFBFBF"/>
            </w:tcBorders>
            <w:shd w:val="clear" w:color="auto" w:fill="F2F6F9"/>
            <w:tcMar>
              <w:top w:w="60" w:type="dxa"/>
              <w:left w:w="80" w:type="dxa"/>
              <w:bottom w:w="60" w:type="dxa"/>
              <w:right w:w="80" w:type="dxa"/>
            </w:tcMar>
          </w:tcPr>
          <w:p w14:paraId="2427A291" w14:textId="77777777" w:rsidR="001F7AD4" w:rsidRDefault="00000000">
            <w:pPr>
              <w:jc w:val="center"/>
            </w:pPr>
            <w:r>
              <w:rPr>
                <w:sz w:val="20"/>
                <w:szCs w:val="20"/>
              </w:rPr>
              <w:t>1</w:t>
            </w:r>
          </w:p>
        </w:tc>
        <w:tc>
          <w:tcPr>
            <w:tcW w:w="1510" w:type="dxa"/>
            <w:tcBorders>
              <w:top w:val="single" w:sz="4" w:space="0" w:color="BFBFBF"/>
              <w:left w:val="single" w:sz="4" w:space="0" w:color="BFBFBF"/>
              <w:bottom w:val="single" w:sz="4" w:space="0" w:color="BFBFBF"/>
              <w:right w:val="single" w:sz="4" w:space="0" w:color="BFBFBF"/>
            </w:tcBorders>
            <w:shd w:val="clear" w:color="auto" w:fill="F2F6F9"/>
            <w:tcMar>
              <w:top w:w="60" w:type="dxa"/>
              <w:left w:w="80" w:type="dxa"/>
              <w:bottom w:w="60" w:type="dxa"/>
              <w:right w:w="80" w:type="dxa"/>
            </w:tcMar>
          </w:tcPr>
          <w:p w14:paraId="1F9467C6" w14:textId="77777777" w:rsidR="001F7AD4" w:rsidRDefault="001F7AD4">
            <w:pPr>
              <w:jc w:val="center"/>
            </w:pPr>
          </w:p>
        </w:tc>
        <w:tc>
          <w:tcPr>
            <w:tcW w:w="1510" w:type="dxa"/>
            <w:tcBorders>
              <w:top w:val="single" w:sz="4" w:space="0" w:color="BFBFBF"/>
              <w:left w:val="single" w:sz="4" w:space="0" w:color="BFBFBF"/>
              <w:bottom w:val="single" w:sz="4" w:space="0" w:color="BFBFBF"/>
              <w:right w:val="single" w:sz="4" w:space="0" w:color="BFBFBF"/>
            </w:tcBorders>
            <w:shd w:val="clear" w:color="auto" w:fill="F2F6F9"/>
            <w:tcMar>
              <w:top w:w="60" w:type="dxa"/>
              <w:left w:w="80" w:type="dxa"/>
              <w:bottom w:w="60" w:type="dxa"/>
              <w:right w:w="80" w:type="dxa"/>
            </w:tcMar>
          </w:tcPr>
          <w:p w14:paraId="1B5DDB44" w14:textId="77777777" w:rsidR="001F7AD4" w:rsidRDefault="001F7AD4">
            <w:pPr>
              <w:jc w:val="center"/>
            </w:pPr>
          </w:p>
        </w:tc>
        <w:tc>
          <w:tcPr>
            <w:tcW w:w="1510" w:type="dxa"/>
            <w:tcBorders>
              <w:top w:val="single" w:sz="4" w:space="0" w:color="BFBFBF"/>
              <w:left w:val="single" w:sz="4" w:space="0" w:color="BFBFBF"/>
              <w:bottom w:val="single" w:sz="4" w:space="0" w:color="BFBFBF"/>
              <w:right w:val="single" w:sz="4" w:space="0" w:color="BFBFBF"/>
            </w:tcBorders>
            <w:shd w:val="clear" w:color="auto" w:fill="F2F6F9"/>
            <w:tcMar>
              <w:top w:w="60" w:type="dxa"/>
              <w:left w:w="80" w:type="dxa"/>
              <w:bottom w:w="60" w:type="dxa"/>
              <w:right w:w="80" w:type="dxa"/>
            </w:tcMar>
          </w:tcPr>
          <w:p w14:paraId="7AB18C5A" w14:textId="77777777" w:rsidR="001F7AD4" w:rsidRDefault="001F7AD4">
            <w:pPr>
              <w:jc w:val="center"/>
            </w:pPr>
          </w:p>
        </w:tc>
      </w:tr>
      <w:tr w:rsidR="001F7AD4" w14:paraId="269CC858" w14:textId="77777777">
        <w:tblPrEx>
          <w:tblCellMar>
            <w:top w:w="0" w:type="dxa"/>
            <w:bottom w:w="0" w:type="dxa"/>
          </w:tblCellMar>
        </w:tblPrEx>
        <w:tc>
          <w:tcPr>
            <w:tcW w:w="2490" w:type="dxa"/>
            <w:tcBorders>
              <w:top w:val="single" w:sz="4" w:space="0" w:color="BFBFBF"/>
              <w:left w:val="single" w:sz="4" w:space="0" w:color="BFBFBF"/>
              <w:bottom w:val="single" w:sz="4" w:space="0" w:color="BFBFBF"/>
              <w:right w:val="single" w:sz="4" w:space="0" w:color="BFBFBF"/>
            </w:tcBorders>
            <w:shd w:val="clear" w:color="auto" w:fill="E4EDF4"/>
            <w:tcMar>
              <w:top w:w="60" w:type="dxa"/>
              <w:left w:w="80" w:type="dxa"/>
              <w:bottom w:w="60" w:type="dxa"/>
              <w:right w:w="80" w:type="dxa"/>
            </w:tcMar>
          </w:tcPr>
          <w:p w14:paraId="3EEDED41" w14:textId="77777777" w:rsidR="001F7AD4" w:rsidRDefault="00000000">
            <w:r>
              <w:rPr>
                <w:b/>
                <w:bCs/>
                <w:sz w:val="20"/>
                <w:szCs w:val="20"/>
              </w:rPr>
              <w:t xml:space="preserve">Weighted </w:t>
            </w:r>
            <w:proofErr w:type="gramStart"/>
            <w:r>
              <w:rPr>
                <w:b/>
                <w:bCs/>
                <w:sz w:val="20"/>
                <w:szCs w:val="20"/>
              </w:rPr>
              <w:t>total  (</w:t>
            </w:r>
            <w:proofErr w:type="gramEnd"/>
            <w:r>
              <w:rPr>
                <w:b/>
                <w:bCs/>
                <w:sz w:val="20"/>
                <w:szCs w:val="20"/>
              </w:rPr>
              <w:t>4F + 3D + 2A + 1R)</w:t>
            </w:r>
          </w:p>
        </w:tc>
        <w:tc>
          <w:tcPr>
            <w:tcW w:w="990" w:type="dxa"/>
            <w:tcBorders>
              <w:top w:val="single" w:sz="4" w:space="0" w:color="BFBFBF"/>
              <w:left w:val="single" w:sz="4" w:space="0" w:color="BFBFBF"/>
              <w:bottom w:val="single" w:sz="4" w:space="0" w:color="BFBFBF"/>
              <w:right w:val="single" w:sz="4" w:space="0" w:color="BFBFBF"/>
            </w:tcBorders>
            <w:shd w:val="clear" w:color="auto" w:fill="E4EDF4"/>
            <w:tcMar>
              <w:top w:w="60" w:type="dxa"/>
              <w:left w:w="80" w:type="dxa"/>
              <w:bottom w:w="60" w:type="dxa"/>
              <w:right w:w="80" w:type="dxa"/>
            </w:tcMar>
          </w:tcPr>
          <w:p w14:paraId="48B3AFA1" w14:textId="77777777" w:rsidR="001F7AD4" w:rsidRDefault="001F7AD4"/>
        </w:tc>
        <w:tc>
          <w:tcPr>
            <w:tcW w:w="1510" w:type="dxa"/>
            <w:tcBorders>
              <w:top w:val="single" w:sz="4" w:space="0" w:color="BFBFBF"/>
              <w:left w:val="single" w:sz="4" w:space="0" w:color="BFBFBF"/>
              <w:bottom w:val="single" w:sz="4" w:space="0" w:color="BFBFBF"/>
              <w:right w:val="single" w:sz="4" w:space="0" w:color="BFBFBF"/>
            </w:tcBorders>
            <w:shd w:val="clear" w:color="auto" w:fill="E4EDF4"/>
            <w:tcMar>
              <w:top w:w="60" w:type="dxa"/>
              <w:left w:w="80" w:type="dxa"/>
              <w:bottom w:w="60" w:type="dxa"/>
              <w:right w:w="80" w:type="dxa"/>
            </w:tcMar>
          </w:tcPr>
          <w:p w14:paraId="3065853C" w14:textId="77777777" w:rsidR="001F7AD4" w:rsidRDefault="001F7AD4"/>
        </w:tc>
        <w:tc>
          <w:tcPr>
            <w:tcW w:w="1510" w:type="dxa"/>
            <w:tcBorders>
              <w:top w:val="single" w:sz="4" w:space="0" w:color="BFBFBF"/>
              <w:left w:val="single" w:sz="4" w:space="0" w:color="BFBFBF"/>
              <w:bottom w:val="single" w:sz="4" w:space="0" w:color="BFBFBF"/>
              <w:right w:val="single" w:sz="4" w:space="0" w:color="BFBFBF"/>
            </w:tcBorders>
            <w:shd w:val="clear" w:color="auto" w:fill="E4EDF4"/>
            <w:tcMar>
              <w:top w:w="60" w:type="dxa"/>
              <w:left w:w="80" w:type="dxa"/>
              <w:bottom w:w="60" w:type="dxa"/>
              <w:right w:w="80" w:type="dxa"/>
            </w:tcMar>
          </w:tcPr>
          <w:p w14:paraId="41B52F28" w14:textId="77777777" w:rsidR="001F7AD4" w:rsidRDefault="001F7AD4"/>
        </w:tc>
        <w:tc>
          <w:tcPr>
            <w:tcW w:w="1510" w:type="dxa"/>
            <w:tcBorders>
              <w:top w:val="single" w:sz="4" w:space="0" w:color="BFBFBF"/>
              <w:left w:val="single" w:sz="4" w:space="0" w:color="BFBFBF"/>
              <w:bottom w:val="single" w:sz="4" w:space="0" w:color="BFBFBF"/>
              <w:right w:val="single" w:sz="4" w:space="0" w:color="BFBFBF"/>
            </w:tcBorders>
            <w:shd w:val="clear" w:color="auto" w:fill="E4EDF4"/>
            <w:tcMar>
              <w:top w:w="60" w:type="dxa"/>
              <w:left w:w="80" w:type="dxa"/>
              <w:bottom w:w="60" w:type="dxa"/>
              <w:right w:w="80" w:type="dxa"/>
            </w:tcMar>
          </w:tcPr>
          <w:p w14:paraId="5EDEDBA2" w14:textId="77777777" w:rsidR="001F7AD4" w:rsidRDefault="001F7AD4"/>
        </w:tc>
      </w:tr>
      <w:tr w:rsidR="001F7AD4" w14:paraId="407FF359" w14:textId="77777777">
        <w:tblPrEx>
          <w:tblCellMar>
            <w:top w:w="0" w:type="dxa"/>
            <w:bottom w:w="0" w:type="dxa"/>
          </w:tblCellMar>
        </w:tblPrEx>
        <w:tc>
          <w:tcPr>
            <w:tcW w:w="2490" w:type="dxa"/>
            <w:tcBorders>
              <w:top w:val="single" w:sz="4" w:space="0" w:color="BFBFBF"/>
              <w:left w:val="single" w:sz="4" w:space="0" w:color="BFBFBF"/>
              <w:bottom w:val="single" w:sz="4" w:space="0" w:color="BFBFBF"/>
              <w:right w:val="single" w:sz="4" w:space="0" w:color="BFBFBF"/>
            </w:tcBorders>
            <w:shd w:val="clear" w:color="auto" w:fill="E4EDF4"/>
            <w:tcMar>
              <w:top w:w="60" w:type="dxa"/>
              <w:left w:w="80" w:type="dxa"/>
              <w:bottom w:w="60" w:type="dxa"/>
              <w:right w:w="80" w:type="dxa"/>
            </w:tcMar>
          </w:tcPr>
          <w:p w14:paraId="67BEA06C" w14:textId="77777777" w:rsidR="001F7AD4" w:rsidRDefault="00000000">
            <w:r>
              <w:rPr>
                <w:b/>
                <w:bCs/>
                <w:sz w:val="20"/>
                <w:szCs w:val="20"/>
              </w:rPr>
              <w:t xml:space="preserve">Suitability </w:t>
            </w:r>
            <w:proofErr w:type="gramStart"/>
            <w:r>
              <w:rPr>
                <w:b/>
                <w:bCs/>
                <w:sz w:val="20"/>
                <w:szCs w:val="20"/>
              </w:rPr>
              <w:t>score  (</w:t>
            </w:r>
            <w:proofErr w:type="gramEnd"/>
            <w:r>
              <w:rPr>
                <w:b/>
                <w:bCs/>
                <w:sz w:val="20"/>
                <w:szCs w:val="20"/>
              </w:rPr>
              <w:t>weighted total ÷ 10)</w:t>
            </w:r>
          </w:p>
        </w:tc>
        <w:tc>
          <w:tcPr>
            <w:tcW w:w="990" w:type="dxa"/>
            <w:tcBorders>
              <w:top w:val="single" w:sz="4" w:space="0" w:color="BFBFBF"/>
              <w:left w:val="single" w:sz="4" w:space="0" w:color="BFBFBF"/>
              <w:bottom w:val="single" w:sz="4" w:space="0" w:color="BFBFBF"/>
              <w:right w:val="single" w:sz="4" w:space="0" w:color="BFBFBF"/>
            </w:tcBorders>
            <w:shd w:val="clear" w:color="auto" w:fill="E4EDF4"/>
            <w:tcMar>
              <w:top w:w="60" w:type="dxa"/>
              <w:left w:w="80" w:type="dxa"/>
              <w:bottom w:w="60" w:type="dxa"/>
              <w:right w:w="80" w:type="dxa"/>
            </w:tcMar>
          </w:tcPr>
          <w:p w14:paraId="171D41E1" w14:textId="77777777" w:rsidR="001F7AD4" w:rsidRDefault="001F7AD4"/>
        </w:tc>
        <w:tc>
          <w:tcPr>
            <w:tcW w:w="1510" w:type="dxa"/>
            <w:tcBorders>
              <w:top w:val="single" w:sz="4" w:space="0" w:color="BFBFBF"/>
              <w:left w:val="single" w:sz="4" w:space="0" w:color="BFBFBF"/>
              <w:bottom w:val="single" w:sz="4" w:space="0" w:color="BFBFBF"/>
              <w:right w:val="single" w:sz="4" w:space="0" w:color="BFBFBF"/>
            </w:tcBorders>
            <w:shd w:val="clear" w:color="auto" w:fill="E4EDF4"/>
            <w:tcMar>
              <w:top w:w="60" w:type="dxa"/>
              <w:left w:w="80" w:type="dxa"/>
              <w:bottom w:w="60" w:type="dxa"/>
              <w:right w:w="80" w:type="dxa"/>
            </w:tcMar>
          </w:tcPr>
          <w:p w14:paraId="587504C4" w14:textId="77777777" w:rsidR="001F7AD4" w:rsidRDefault="001F7AD4"/>
        </w:tc>
        <w:tc>
          <w:tcPr>
            <w:tcW w:w="1510" w:type="dxa"/>
            <w:tcBorders>
              <w:top w:val="single" w:sz="4" w:space="0" w:color="BFBFBF"/>
              <w:left w:val="single" w:sz="4" w:space="0" w:color="BFBFBF"/>
              <w:bottom w:val="single" w:sz="4" w:space="0" w:color="BFBFBF"/>
              <w:right w:val="single" w:sz="4" w:space="0" w:color="BFBFBF"/>
            </w:tcBorders>
            <w:shd w:val="clear" w:color="auto" w:fill="E4EDF4"/>
            <w:tcMar>
              <w:top w:w="60" w:type="dxa"/>
              <w:left w:w="80" w:type="dxa"/>
              <w:bottom w:w="60" w:type="dxa"/>
              <w:right w:w="80" w:type="dxa"/>
            </w:tcMar>
          </w:tcPr>
          <w:p w14:paraId="1C44BD9B" w14:textId="77777777" w:rsidR="001F7AD4" w:rsidRDefault="001F7AD4"/>
        </w:tc>
        <w:tc>
          <w:tcPr>
            <w:tcW w:w="1510" w:type="dxa"/>
            <w:tcBorders>
              <w:top w:val="single" w:sz="4" w:space="0" w:color="BFBFBF"/>
              <w:left w:val="single" w:sz="4" w:space="0" w:color="BFBFBF"/>
              <w:bottom w:val="single" w:sz="4" w:space="0" w:color="BFBFBF"/>
              <w:right w:val="single" w:sz="4" w:space="0" w:color="BFBFBF"/>
            </w:tcBorders>
            <w:shd w:val="clear" w:color="auto" w:fill="E4EDF4"/>
            <w:tcMar>
              <w:top w:w="60" w:type="dxa"/>
              <w:left w:w="80" w:type="dxa"/>
              <w:bottom w:w="60" w:type="dxa"/>
              <w:right w:w="80" w:type="dxa"/>
            </w:tcMar>
          </w:tcPr>
          <w:p w14:paraId="142A9417" w14:textId="77777777" w:rsidR="001F7AD4" w:rsidRDefault="001F7AD4"/>
        </w:tc>
      </w:tr>
    </w:tbl>
    <w:p w14:paraId="07A771A1" w14:textId="77777777" w:rsidR="001F7AD4" w:rsidRDefault="001F7AD4"/>
    <w:p w14:paraId="3DBEEE3A" w14:textId="77777777" w:rsidR="001F7AD4" w:rsidRDefault="00000000">
      <w:pPr>
        <w:spacing w:after="80" w:line="260" w:lineRule="auto"/>
      </w:pPr>
      <w:r>
        <w:t>Worked example: a site scoring F = 5, D = 3, A = 4, R = 4 has a weighted total of 4(5) + 3(3) + 2(4) + 1(4) = 41, and a suitability score of 41 ÷ 10 = 4.1 out of 5.</w:t>
      </w:r>
    </w:p>
    <w:p w14:paraId="60C5FE83" w14:textId="77777777" w:rsidR="001F7AD4" w:rsidRDefault="00000000">
      <w:pPr>
        <w:keepNext/>
        <w:spacing w:before="280" w:after="100"/>
      </w:pPr>
      <w:r>
        <w:rPr>
          <w:b/>
          <w:bCs/>
          <w:color w:val="02568A"/>
          <w:sz w:val="36"/>
          <w:szCs w:val="36"/>
        </w:rPr>
        <w:t>Extension ideas (optional)</w:t>
      </w:r>
    </w:p>
    <w:p w14:paraId="26C1C075" w14:textId="77777777" w:rsidR="001F7AD4" w:rsidRDefault="00000000">
      <w:pPr>
        <w:pStyle w:val="ListParagraph"/>
        <w:numPr>
          <w:ilvl w:val="0"/>
          <w:numId w:val="4"/>
        </w:numPr>
        <w:spacing w:after="60" w:line="260" w:lineRule="auto"/>
      </w:pPr>
      <w:r>
        <w:rPr>
          <w:b/>
          <w:bCs/>
        </w:rPr>
        <w:t xml:space="preserve">Sensitivity analysis. </w:t>
      </w:r>
      <w:r>
        <w:t xml:space="preserve">Swap the weights on flood risk and distance, then recompute. Does the winning site change? GIS specialists run this test before presenting to a council, because </w:t>
      </w:r>
      <w:r>
        <w:lastRenderedPageBreak/>
        <w:t>a recommendation that flips under a small change in assumptions is a fragile recommendation.</w:t>
      </w:r>
    </w:p>
    <w:p w14:paraId="72010C50" w14:textId="77777777" w:rsidR="001F7AD4" w:rsidRDefault="00000000">
      <w:pPr>
        <w:pStyle w:val="ListParagraph"/>
        <w:numPr>
          <w:ilvl w:val="0"/>
          <w:numId w:val="4"/>
        </w:numPr>
        <w:spacing w:after="60" w:line="260" w:lineRule="auto"/>
      </w:pPr>
      <w:r>
        <w:rPr>
          <w:b/>
          <w:bCs/>
        </w:rPr>
        <w:t xml:space="preserve">Graph the profile. </w:t>
      </w:r>
      <w:r>
        <w:t>Build a multiple-bar graph showing all four criterion scores for the three sites side by side. A site can win on total score while losing badly on one criterion, and the graph makes that visible in a way the single number hides.</w:t>
      </w:r>
    </w:p>
    <w:p w14:paraId="2D4241AA" w14:textId="77777777" w:rsidR="001F7AD4" w:rsidRDefault="00000000">
      <w:pPr>
        <w:pStyle w:val="ListParagraph"/>
        <w:numPr>
          <w:ilvl w:val="0"/>
          <w:numId w:val="4"/>
        </w:numPr>
        <w:spacing w:after="60" w:line="260" w:lineRule="auto"/>
      </w:pPr>
      <w:r>
        <w:rPr>
          <w:b/>
          <w:bCs/>
        </w:rPr>
        <w:t xml:space="preserve">Critique a published map. </w:t>
      </w:r>
      <w:r>
        <w:t>Compare how the same flood data looks with the raster transparency turned up versus down. Discuss which version a homeowner should see, and what an honest map owes its reader.</w:t>
      </w:r>
    </w:p>
    <w:p w14:paraId="61DDE01C" w14:textId="77777777" w:rsidR="001F7AD4" w:rsidRDefault="00000000">
      <w:pPr>
        <w:pStyle w:val="ListParagraph"/>
        <w:numPr>
          <w:ilvl w:val="0"/>
          <w:numId w:val="4"/>
        </w:numPr>
        <w:spacing w:after="60" w:line="260" w:lineRule="auto"/>
      </w:pPr>
      <w:r>
        <w:rPr>
          <w:b/>
          <w:bCs/>
        </w:rPr>
        <w:t xml:space="preserve">Change the question. </w:t>
      </w:r>
      <w:r>
        <w:t>Rerun the model for a different facility — a food bank, an EV fast-charging station, a new trail head — and let learners set their own criteria and weights. Defending the choice of weights is harder than the arithmetic, and closer to the real job.</w:t>
      </w:r>
    </w:p>
    <w:p w14:paraId="17EB8BB5" w14:textId="77777777" w:rsidR="001F7AD4" w:rsidRDefault="00000000">
      <w:pPr>
        <w:pStyle w:val="ListParagraph"/>
        <w:numPr>
          <w:ilvl w:val="0"/>
          <w:numId w:val="4"/>
        </w:numPr>
        <w:spacing w:after="60" w:line="260" w:lineRule="auto"/>
      </w:pPr>
      <w:r>
        <w:rPr>
          <w:b/>
          <w:bCs/>
        </w:rPr>
        <w:t xml:space="preserve">Invite a practitioner. </w:t>
      </w:r>
      <w:r>
        <w:t>Regional service commissions, Service New Brunswick and municipal planning departments all employ GIS staff, and many will join a class virtually for twenty minutes.</w:t>
      </w:r>
    </w:p>
    <w:p w14:paraId="425B6A0F" w14:textId="77777777" w:rsidR="001F7AD4" w:rsidRDefault="00000000">
      <w:pPr>
        <w:keepNext/>
        <w:spacing w:before="280" w:after="100"/>
      </w:pPr>
      <w:r>
        <w:rPr>
          <w:b/>
          <w:bCs/>
          <w:color w:val="02568A"/>
          <w:sz w:val="36"/>
          <w:szCs w:val="36"/>
        </w:rPr>
        <w:t>Reflection Activity</w:t>
      </w:r>
    </w:p>
    <w:p w14:paraId="480089FB" w14:textId="77777777" w:rsidR="001F7AD4" w:rsidRDefault="00000000">
      <w:pPr>
        <w:spacing w:after="120" w:line="260" w:lineRule="auto"/>
      </w:pPr>
      <w:r>
        <w:rPr>
          <w:i/>
          <w:iCs/>
        </w:rPr>
        <w:t>Please see the attached PDF for several choices on how you and your learners can reflect upon today’s activity</w:t>
      </w:r>
    </w:p>
    <w:p w14:paraId="57BA356E" w14:textId="77777777" w:rsidR="001F7AD4" w:rsidRDefault="00000000">
      <w:pPr>
        <w:spacing w:after="120" w:line="260" w:lineRule="auto"/>
      </w:pPr>
      <w:r>
        <w:t>Career-focused prompts to draw on: Which part of this did you enjoy most — the measuring, the deciding, or the arguing? A GIS specialist does all three. What surprised you about how much judgement went into a task that produced a number? Would you want a job where your map changes what gets built?</w:t>
      </w:r>
    </w:p>
    <w:p w14:paraId="1DA08F3C" w14:textId="77777777" w:rsidR="001F7AD4" w:rsidRDefault="00000000">
      <w:pPr>
        <w:keepNext/>
        <w:spacing w:before="280" w:after="100"/>
      </w:pPr>
      <w:r>
        <w:rPr>
          <w:b/>
          <w:bCs/>
          <w:color w:val="02568A"/>
          <w:sz w:val="36"/>
          <w:szCs w:val="36"/>
        </w:rPr>
        <w:t>Digital Literacy Framework (optional)</w:t>
      </w:r>
    </w:p>
    <w:p w14:paraId="33A3B535" w14:textId="77777777" w:rsidR="001F7AD4" w:rsidRDefault="00000000">
      <w:pPr>
        <w:pStyle w:val="ListParagraph"/>
        <w:numPr>
          <w:ilvl w:val="0"/>
          <w:numId w:val="5"/>
        </w:numPr>
        <w:spacing w:after="60" w:line="260" w:lineRule="auto"/>
      </w:pPr>
      <w:r>
        <w:rPr>
          <w:b/>
          <w:bCs/>
        </w:rPr>
        <w:t>Critical Thinking and Meaning Making</w:t>
      </w:r>
      <w:r>
        <w:t xml:space="preserve"> — learners interrogate what each map layer does and does not show before trusting it.</w:t>
      </w:r>
    </w:p>
    <w:p w14:paraId="2A6B85E0" w14:textId="77777777" w:rsidR="001F7AD4" w:rsidRDefault="00000000">
      <w:pPr>
        <w:pStyle w:val="ListParagraph"/>
        <w:numPr>
          <w:ilvl w:val="0"/>
          <w:numId w:val="5"/>
        </w:numPr>
        <w:spacing w:after="60" w:line="260" w:lineRule="auto"/>
      </w:pPr>
      <w:r>
        <w:rPr>
          <w:b/>
          <w:bCs/>
        </w:rPr>
        <w:t>Computational Thinking</w:t>
      </w:r>
      <w:r>
        <w:t xml:space="preserve"> — learners decompose a messy siting question into weighted criteria and apply a repeatable algorithm.</w:t>
      </w:r>
    </w:p>
    <w:p w14:paraId="79FBB11F" w14:textId="77777777" w:rsidR="001F7AD4" w:rsidRDefault="00000000">
      <w:pPr>
        <w:pStyle w:val="ListParagraph"/>
        <w:numPr>
          <w:ilvl w:val="0"/>
          <w:numId w:val="5"/>
        </w:numPr>
        <w:spacing w:after="60" w:line="260" w:lineRule="auto"/>
      </w:pPr>
      <w:r>
        <w:rPr>
          <w:b/>
          <w:bCs/>
        </w:rPr>
        <w:t>Communication and Collaboration</w:t>
      </w:r>
      <w:r>
        <w:t xml:space="preserve"> — pairs negotiate scoring decisions and present an evidence-based recommendation.</w:t>
      </w:r>
    </w:p>
    <w:p w14:paraId="47C6EECB" w14:textId="77777777" w:rsidR="001F7AD4" w:rsidRDefault="00000000">
      <w:pPr>
        <w:spacing w:after="120" w:line="260" w:lineRule="auto"/>
      </w:pPr>
      <w:r>
        <w:t xml:space="preserve">Framework: </w:t>
      </w:r>
      <w:hyperlink r:id="rId9" w:history="1">
        <w:r>
          <w:rPr>
            <w:rStyle w:val="Hyperlink"/>
          </w:rPr>
          <w:t>Empowering Digital Learners to Create a Brighter Future (EECD NB Digital Literacy Framework)</w:t>
        </w:r>
      </w:hyperlink>
    </w:p>
    <w:p w14:paraId="35C3B73D" w14:textId="77777777" w:rsidR="001F7AD4" w:rsidRDefault="00000000">
      <w:pPr>
        <w:keepNext/>
        <w:spacing w:before="280" w:after="100"/>
      </w:pPr>
      <w:r>
        <w:rPr>
          <w:b/>
          <w:bCs/>
          <w:color w:val="02568A"/>
          <w:sz w:val="36"/>
          <w:szCs w:val="36"/>
        </w:rPr>
        <w:lastRenderedPageBreak/>
        <w:t>Global Competencies (optional)</w:t>
      </w:r>
    </w:p>
    <w:p w14:paraId="305982AB" w14:textId="77777777" w:rsidR="001F7AD4" w:rsidRDefault="00000000">
      <w:pPr>
        <w:pStyle w:val="ListParagraph"/>
        <w:numPr>
          <w:ilvl w:val="0"/>
          <w:numId w:val="6"/>
        </w:numPr>
        <w:spacing w:after="60" w:line="260" w:lineRule="auto"/>
      </w:pPr>
      <w:r>
        <w:rPr>
          <w:b/>
          <w:bCs/>
        </w:rPr>
        <w:t>Critical Thinking and Problem Solving (CTPS)</w:t>
      </w:r>
      <w:r>
        <w:t xml:space="preserve"> — learners weigh competing criteria and justify a recommendation with evidence.</w:t>
      </w:r>
    </w:p>
    <w:p w14:paraId="74F695FC" w14:textId="77777777" w:rsidR="001F7AD4" w:rsidRDefault="00000000">
      <w:pPr>
        <w:pStyle w:val="ListParagraph"/>
        <w:numPr>
          <w:ilvl w:val="0"/>
          <w:numId w:val="6"/>
        </w:numPr>
        <w:spacing w:after="60" w:line="260" w:lineRule="auto"/>
      </w:pPr>
      <w:r>
        <w:rPr>
          <w:b/>
          <w:bCs/>
        </w:rPr>
        <w:t>Collaboration (CL)</w:t>
      </w:r>
      <w:r>
        <w:t xml:space="preserve"> — pairs divide measurement work and reconcile differing scores.</w:t>
      </w:r>
    </w:p>
    <w:p w14:paraId="32E4E9C5" w14:textId="77777777" w:rsidR="001F7AD4" w:rsidRDefault="00000000">
      <w:pPr>
        <w:pStyle w:val="ListParagraph"/>
        <w:numPr>
          <w:ilvl w:val="0"/>
          <w:numId w:val="6"/>
        </w:numPr>
        <w:spacing w:after="60" w:line="260" w:lineRule="auto"/>
      </w:pPr>
      <w:r>
        <w:rPr>
          <w:b/>
          <w:bCs/>
        </w:rPr>
        <w:t>Sustainability and Global Citizenship (SGC)</w:t>
      </w:r>
      <w:r>
        <w:t xml:space="preserve"> — learners confront climate-driven flood projections as a factor in community planning.</w:t>
      </w:r>
    </w:p>
    <w:p w14:paraId="12E902C3" w14:textId="77777777" w:rsidR="001F7AD4" w:rsidRDefault="00000000">
      <w:pPr>
        <w:spacing w:after="120" w:line="260" w:lineRule="auto"/>
      </w:pPr>
      <w:r>
        <w:t xml:space="preserve">Framework: </w:t>
      </w:r>
      <w:hyperlink r:id="rId10" w:history="1">
        <w:r>
          <w:rPr>
            <w:rStyle w:val="Hyperlink"/>
          </w:rPr>
          <w:t>New Brunswick Global Competencies</w:t>
        </w:r>
      </w:hyperlink>
    </w:p>
    <w:p w14:paraId="101B9E4D" w14:textId="77777777" w:rsidR="001F7AD4" w:rsidRDefault="00000000">
      <w:pPr>
        <w:keepNext/>
        <w:spacing w:before="280" w:after="100"/>
      </w:pPr>
      <w:r>
        <w:rPr>
          <w:b/>
          <w:bCs/>
          <w:color w:val="02568A"/>
          <w:sz w:val="36"/>
          <w:szCs w:val="36"/>
        </w:rPr>
        <w:t>Acknowledgements</w:t>
      </w:r>
    </w:p>
    <w:p w14:paraId="0E94B0F0" w14:textId="77777777" w:rsidR="001F7AD4" w:rsidRDefault="00000000">
      <w:pPr>
        <w:pStyle w:val="ListParagraph"/>
        <w:numPr>
          <w:ilvl w:val="0"/>
          <w:numId w:val="7"/>
        </w:numPr>
        <w:spacing w:after="60" w:line="260" w:lineRule="auto"/>
      </w:pPr>
      <w:r>
        <w:t xml:space="preserve">Flood hazard mapping and base map layers courtesy of </w:t>
      </w:r>
      <w:hyperlink r:id="rId11" w:history="1">
        <w:proofErr w:type="spellStart"/>
        <w:r>
          <w:rPr>
            <w:rStyle w:val="Hyperlink"/>
          </w:rPr>
          <w:t>GeoNB</w:t>
        </w:r>
        <w:proofErr w:type="spellEnd"/>
      </w:hyperlink>
      <w:r>
        <w:t>, Service New Brunswick, and the Department of Environment and Local Government.</w:t>
      </w:r>
    </w:p>
    <w:p w14:paraId="7954AD2B" w14:textId="77777777" w:rsidR="001F7AD4" w:rsidRDefault="00000000">
      <w:pPr>
        <w:pStyle w:val="ListParagraph"/>
        <w:numPr>
          <w:ilvl w:val="0"/>
          <w:numId w:val="7"/>
        </w:numPr>
        <w:spacing w:after="60" w:line="260" w:lineRule="auto"/>
      </w:pPr>
      <w:r>
        <w:t xml:space="preserve">Curriculum wording drawn from the </w:t>
      </w:r>
      <w:hyperlink r:id="rId12" w:history="1">
        <w:r>
          <w:rPr>
            <w:rStyle w:val="Hyperlink"/>
          </w:rPr>
          <w:t>NB Curriculum Framework</w:t>
        </w:r>
      </w:hyperlink>
      <w:r>
        <w:t xml:space="preserve"> for Mathematics 9 and Geometry, Measurement and Finance 10.</w:t>
      </w:r>
    </w:p>
    <w:p w14:paraId="40843D7D" w14:textId="77777777" w:rsidR="001F7AD4" w:rsidRDefault="00000000">
      <w:pPr>
        <w:pStyle w:val="ListParagraph"/>
        <w:numPr>
          <w:ilvl w:val="0"/>
          <w:numId w:val="7"/>
        </w:numPr>
        <w:spacing w:after="60" w:line="260" w:lineRule="auto"/>
      </w:pPr>
      <w:r>
        <w:t xml:space="preserve">Occupational information from </w:t>
      </w:r>
      <w:hyperlink r:id="rId13" w:history="1">
        <w:r>
          <w:rPr>
            <w:rStyle w:val="Hyperlink"/>
          </w:rPr>
          <w:t>Job Bank Canada</w:t>
        </w:r>
      </w:hyperlink>
      <w:r>
        <w:t>, Geographic Information Systems (GIS) Technician.</w:t>
      </w:r>
    </w:p>
    <w:p w14:paraId="2C37A96C" w14:textId="77777777" w:rsidR="001F7AD4" w:rsidRDefault="001F7AD4"/>
    <w:p w14:paraId="6E6B52DF" w14:textId="77777777" w:rsidR="001F7AD4" w:rsidRDefault="001F7AD4">
      <w:pPr>
        <w:pBdr>
          <w:top w:val="single" w:sz="6" w:space="6" w:color="808080"/>
        </w:pBdr>
        <w:spacing w:before="120" w:after="120"/>
      </w:pPr>
    </w:p>
    <w:p w14:paraId="26572F85" w14:textId="77777777" w:rsidR="001F7AD4" w:rsidRDefault="00000000">
      <w:pPr>
        <w:spacing w:after="120" w:line="260" w:lineRule="auto"/>
      </w:pPr>
      <w:r>
        <w:rPr>
          <w:b/>
          <w:bCs/>
        </w:rPr>
        <w:t>Note</w:t>
      </w:r>
      <w:r>
        <w:t>: Additional information, including connections to Global Competencies, the Digital Literacy Framework, The Career Education Framework, Sustainable Development Goals, Wabanaki Framework, NB Black Histories and Cultures Framework, Common European Framework of Reference (CEFR), Civics Framework, Climate Literacy and Sustainability Framework, etc. may be added by Centre leads.</w:t>
      </w:r>
    </w:p>
    <w:sectPr w:rsidR="001F7AD4">
      <w:pgSz w:w="12240" w:h="15840"/>
      <w:pgMar w:top="990" w:right="2790" w:bottom="45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500000000000000"/>
    <w:charset w:val="4D"/>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7742E"/>
    <w:multiLevelType w:val="hybridMultilevel"/>
    <w:tmpl w:val="CFDEFF30"/>
    <w:lvl w:ilvl="0" w:tplc="5A447C14">
      <w:start w:val="1"/>
      <w:numFmt w:val="bullet"/>
      <w:lvlText w:val="●"/>
      <w:lvlJc w:val="left"/>
      <w:pPr>
        <w:ind w:left="720" w:hanging="360"/>
      </w:pPr>
    </w:lvl>
    <w:lvl w:ilvl="1" w:tplc="B2526B0C">
      <w:start w:val="1"/>
      <w:numFmt w:val="bullet"/>
      <w:lvlText w:val="○"/>
      <w:lvlJc w:val="left"/>
      <w:pPr>
        <w:ind w:left="1440" w:hanging="360"/>
      </w:pPr>
    </w:lvl>
    <w:lvl w:ilvl="2" w:tplc="47A05C2A">
      <w:start w:val="1"/>
      <w:numFmt w:val="bullet"/>
      <w:lvlText w:val="■"/>
      <w:lvlJc w:val="left"/>
      <w:pPr>
        <w:ind w:left="2160" w:hanging="360"/>
      </w:pPr>
    </w:lvl>
    <w:lvl w:ilvl="3" w:tplc="3780763E">
      <w:start w:val="1"/>
      <w:numFmt w:val="bullet"/>
      <w:lvlText w:val="●"/>
      <w:lvlJc w:val="left"/>
      <w:pPr>
        <w:ind w:left="2880" w:hanging="360"/>
      </w:pPr>
    </w:lvl>
    <w:lvl w:ilvl="4" w:tplc="878209B6">
      <w:start w:val="1"/>
      <w:numFmt w:val="bullet"/>
      <w:lvlText w:val="○"/>
      <w:lvlJc w:val="left"/>
      <w:pPr>
        <w:ind w:left="3600" w:hanging="360"/>
      </w:pPr>
    </w:lvl>
    <w:lvl w:ilvl="5" w:tplc="F048A8BC">
      <w:start w:val="1"/>
      <w:numFmt w:val="bullet"/>
      <w:lvlText w:val="■"/>
      <w:lvlJc w:val="left"/>
      <w:pPr>
        <w:ind w:left="4320" w:hanging="360"/>
      </w:pPr>
    </w:lvl>
    <w:lvl w:ilvl="6" w:tplc="C13A4450">
      <w:start w:val="1"/>
      <w:numFmt w:val="bullet"/>
      <w:lvlText w:val="●"/>
      <w:lvlJc w:val="left"/>
      <w:pPr>
        <w:ind w:left="5040" w:hanging="360"/>
      </w:pPr>
    </w:lvl>
    <w:lvl w:ilvl="7" w:tplc="1D7A4834">
      <w:start w:val="1"/>
      <w:numFmt w:val="bullet"/>
      <w:lvlText w:val="●"/>
      <w:lvlJc w:val="left"/>
      <w:pPr>
        <w:ind w:left="5760" w:hanging="360"/>
      </w:pPr>
    </w:lvl>
    <w:lvl w:ilvl="8" w:tplc="787A3C84">
      <w:start w:val="1"/>
      <w:numFmt w:val="bullet"/>
      <w:lvlText w:val="●"/>
      <w:lvlJc w:val="left"/>
      <w:pPr>
        <w:ind w:left="6480" w:hanging="360"/>
      </w:pPr>
    </w:lvl>
  </w:abstractNum>
  <w:abstractNum w:abstractNumId="1" w15:restartNumberingAfterBreak="0">
    <w:nsid w:val="0CBF345F"/>
    <w:multiLevelType w:val="hybridMultilevel"/>
    <w:tmpl w:val="CDACB7D8"/>
    <w:lvl w:ilvl="0" w:tplc="8FC6135E">
      <w:start w:val="1"/>
      <w:numFmt w:val="decimal"/>
      <w:lvlText w:val="%1."/>
      <w:lvlJc w:val="left"/>
      <w:pPr>
        <w:ind w:left="460" w:hanging="360"/>
      </w:pPr>
    </w:lvl>
    <w:lvl w:ilvl="1" w:tplc="59CA1F72">
      <w:numFmt w:val="decimal"/>
      <w:lvlText w:val=""/>
      <w:lvlJc w:val="left"/>
    </w:lvl>
    <w:lvl w:ilvl="2" w:tplc="983A92FC">
      <w:numFmt w:val="decimal"/>
      <w:lvlText w:val=""/>
      <w:lvlJc w:val="left"/>
    </w:lvl>
    <w:lvl w:ilvl="3" w:tplc="4E163A94">
      <w:numFmt w:val="decimal"/>
      <w:lvlText w:val=""/>
      <w:lvlJc w:val="left"/>
    </w:lvl>
    <w:lvl w:ilvl="4" w:tplc="88349372">
      <w:numFmt w:val="decimal"/>
      <w:lvlText w:val=""/>
      <w:lvlJc w:val="left"/>
    </w:lvl>
    <w:lvl w:ilvl="5" w:tplc="E236D95A">
      <w:numFmt w:val="decimal"/>
      <w:lvlText w:val=""/>
      <w:lvlJc w:val="left"/>
    </w:lvl>
    <w:lvl w:ilvl="6" w:tplc="F95837A8">
      <w:numFmt w:val="decimal"/>
      <w:lvlText w:val=""/>
      <w:lvlJc w:val="left"/>
    </w:lvl>
    <w:lvl w:ilvl="7" w:tplc="B7748CB4">
      <w:numFmt w:val="decimal"/>
      <w:lvlText w:val=""/>
      <w:lvlJc w:val="left"/>
    </w:lvl>
    <w:lvl w:ilvl="8" w:tplc="4ADC5DBE">
      <w:numFmt w:val="decimal"/>
      <w:lvlText w:val=""/>
      <w:lvlJc w:val="left"/>
    </w:lvl>
  </w:abstractNum>
  <w:abstractNum w:abstractNumId="2" w15:restartNumberingAfterBreak="0">
    <w:nsid w:val="0DC62204"/>
    <w:multiLevelType w:val="hybridMultilevel"/>
    <w:tmpl w:val="5AEA1F50"/>
    <w:lvl w:ilvl="0" w:tplc="C04E15E6">
      <w:start w:val="1"/>
      <w:numFmt w:val="bullet"/>
      <w:lvlText w:val="•"/>
      <w:lvlJc w:val="left"/>
      <w:pPr>
        <w:ind w:left="460" w:hanging="260"/>
      </w:pPr>
    </w:lvl>
    <w:lvl w:ilvl="1" w:tplc="5AEC8DB2">
      <w:start w:val="1"/>
      <w:numFmt w:val="bullet"/>
      <w:lvlText w:val="◦"/>
      <w:lvlJc w:val="left"/>
      <w:pPr>
        <w:ind w:left="900" w:hanging="260"/>
      </w:pPr>
    </w:lvl>
    <w:lvl w:ilvl="2" w:tplc="50369F2A">
      <w:numFmt w:val="decimal"/>
      <w:lvlText w:val=""/>
      <w:lvlJc w:val="left"/>
    </w:lvl>
    <w:lvl w:ilvl="3" w:tplc="8080558A">
      <w:numFmt w:val="decimal"/>
      <w:lvlText w:val=""/>
      <w:lvlJc w:val="left"/>
    </w:lvl>
    <w:lvl w:ilvl="4" w:tplc="E0DE57A2">
      <w:numFmt w:val="decimal"/>
      <w:lvlText w:val=""/>
      <w:lvlJc w:val="left"/>
    </w:lvl>
    <w:lvl w:ilvl="5" w:tplc="4E464196">
      <w:numFmt w:val="decimal"/>
      <w:lvlText w:val=""/>
      <w:lvlJc w:val="left"/>
    </w:lvl>
    <w:lvl w:ilvl="6" w:tplc="9ACC05C0">
      <w:numFmt w:val="decimal"/>
      <w:lvlText w:val=""/>
      <w:lvlJc w:val="left"/>
    </w:lvl>
    <w:lvl w:ilvl="7" w:tplc="10329D22">
      <w:numFmt w:val="decimal"/>
      <w:lvlText w:val=""/>
      <w:lvlJc w:val="left"/>
    </w:lvl>
    <w:lvl w:ilvl="8" w:tplc="A2284C50">
      <w:numFmt w:val="decimal"/>
      <w:lvlText w:val=""/>
      <w:lvlJc w:val="left"/>
    </w:lvl>
  </w:abstractNum>
  <w:abstractNum w:abstractNumId="3" w15:restartNumberingAfterBreak="0">
    <w:nsid w:val="1178624C"/>
    <w:multiLevelType w:val="hybridMultilevel"/>
    <w:tmpl w:val="98A2F41E"/>
    <w:lvl w:ilvl="0" w:tplc="C7A800B6">
      <w:start w:val="1"/>
      <w:numFmt w:val="decimal"/>
      <w:lvlText w:val="%1."/>
      <w:lvlJc w:val="left"/>
      <w:pPr>
        <w:ind w:left="460" w:hanging="360"/>
      </w:pPr>
    </w:lvl>
    <w:lvl w:ilvl="1" w:tplc="A32C6260">
      <w:numFmt w:val="decimal"/>
      <w:lvlText w:val=""/>
      <w:lvlJc w:val="left"/>
    </w:lvl>
    <w:lvl w:ilvl="2" w:tplc="5F36FBF8">
      <w:numFmt w:val="decimal"/>
      <w:lvlText w:val=""/>
      <w:lvlJc w:val="left"/>
    </w:lvl>
    <w:lvl w:ilvl="3" w:tplc="10085434">
      <w:numFmt w:val="decimal"/>
      <w:lvlText w:val=""/>
      <w:lvlJc w:val="left"/>
    </w:lvl>
    <w:lvl w:ilvl="4" w:tplc="D0BA0338">
      <w:numFmt w:val="decimal"/>
      <w:lvlText w:val=""/>
      <w:lvlJc w:val="left"/>
    </w:lvl>
    <w:lvl w:ilvl="5" w:tplc="F17CC00A">
      <w:numFmt w:val="decimal"/>
      <w:lvlText w:val=""/>
      <w:lvlJc w:val="left"/>
    </w:lvl>
    <w:lvl w:ilvl="6" w:tplc="CF4401F8">
      <w:numFmt w:val="decimal"/>
      <w:lvlText w:val=""/>
      <w:lvlJc w:val="left"/>
    </w:lvl>
    <w:lvl w:ilvl="7" w:tplc="FF6A32B8">
      <w:numFmt w:val="decimal"/>
      <w:lvlText w:val=""/>
      <w:lvlJc w:val="left"/>
    </w:lvl>
    <w:lvl w:ilvl="8" w:tplc="249608FE">
      <w:numFmt w:val="decimal"/>
      <w:lvlText w:val=""/>
      <w:lvlJc w:val="left"/>
    </w:lvl>
  </w:abstractNum>
  <w:abstractNum w:abstractNumId="4" w15:restartNumberingAfterBreak="0">
    <w:nsid w:val="30A43EC8"/>
    <w:multiLevelType w:val="hybridMultilevel"/>
    <w:tmpl w:val="6D828E7C"/>
    <w:lvl w:ilvl="0" w:tplc="D0A4CE68">
      <w:start w:val="1"/>
      <w:numFmt w:val="decimal"/>
      <w:lvlText w:val="%1."/>
      <w:lvlJc w:val="left"/>
      <w:pPr>
        <w:ind w:left="460" w:hanging="360"/>
      </w:pPr>
    </w:lvl>
    <w:lvl w:ilvl="1" w:tplc="E97022EA">
      <w:numFmt w:val="decimal"/>
      <w:lvlText w:val=""/>
      <w:lvlJc w:val="left"/>
    </w:lvl>
    <w:lvl w:ilvl="2" w:tplc="D9A40D94">
      <w:numFmt w:val="decimal"/>
      <w:lvlText w:val=""/>
      <w:lvlJc w:val="left"/>
    </w:lvl>
    <w:lvl w:ilvl="3" w:tplc="5B7659B6">
      <w:numFmt w:val="decimal"/>
      <w:lvlText w:val=""/>
      <w:lvlJc w:val="left"/>
    </w:lvl>
    <w:lvl w:ilvl="4" w:tplc="EFDECD32">
      <w:numFmt w:val="decimal"/>
      <w:lvlText w:val=""/>
      <w:lvlJc w:val="left"/>
    </w:lvl>
    <w:lvl w:ilvl="5" w:tplc="86BC3BA2">
      <w:numFmt w:val="decimal"/>
      <w:lvlText w:val=""/>
      <w:lvlJc w:val="left"/>
    </w:lvl>
    <w:lvl w:ilvl="6" w:tplc="28B4DB04">
      <w:numFmt w:val="decimal"/>
      <w:lvlText w:val=""/>
      <w:lvlJc w:val="left"/>
    </w:lvl>
    <w:lvl w:ilvl="7" w:tplc="CFA22A30">
      <w:numFmt w:val="decimal"/>
      <w:lvlText w:val=""/>
      <w:lvlJc w:val="left"/>
    </w:lvl>
    <w:lvl w:ilvl="8" w:tplc="D4484F54">
      <w:numFmt w:val="decimal"/>
      <w:lvlText w:val=""/>
      <w:lvlJc w:val="left"/>
    </w:lvl>
  </w:abstractNum>
  <w:abstractNum w:abstractNumId="5" w15:restartNumberingAfterBreak="0">
    <w:nsid w:val="43072653"/>
    <w:multiLevelType w:val="hybridMultilevel"/>
    <w:tmpl w:val="E050DE7A"/>
    <w:lvl w:ilvl="0" w:tplc="786EB3CE">
      <w:start w:val="1"/>
      <w:numFmt w:val="decimal"/>
      <w:lvlText w:val="%1."/>
      <w:lvlJc w:val="left"/>
      <w:pPr>
        <w:ind w:left="460" w:hanging="360"/>
      </w:pPr>
    </w:lvl>
    <w:lvl w:ilvl="1" w:tplc="84041DB0">
      <w:numFmt w:val="decimal"/>
      <w:lvlText w:val=""/>
      <w:lvlJc w:val="left"/>
    </w:lvl>
    <w:lvl w:ilvl="2" w:tplc="58A04F4E">
      <w:numFmt w:val="decimal"/>
      <w:lvlText w:val=""/>
      <w:lvlJc w:val="left"/>
    </w:lvl>
    <w:lvl w:ilvl="3" w:tplc="E9C6DD7C">
      <w:numFmt w:val="decimal"/>
      <w:lvlText w:val=""/>
      <w:lvlJc w:val="left"/>
    </w:lvl>
    <w:lvl w:ilvl="4" w:tplc="916ECCD0">
      <w:numFmt w:val="decimal"/>
      <w:lvlText w:val=""/>
      <w:lvlJc w:val="left"/>
    </w:lvl>
    <w:lvl w:ilvl="5" w:tplc="D0C49566">
      <w:numFmt w:val="decimal"/>
      <w:lvlText w:val=""/>
      <w:lvlJc w:val="left"/>
    </w:lvl>
    <w:lvl w:ilvl="6" w:tplc="DDD6D576">
      <w:numFmt w:val="decimal"/>
      <w:lvlText w:val=""/>
      <w:lvlJc w:val="left"/>
    </w:lvl>
    <w:lvl w:ilvl="7" w:tplc="A2E2430E">
      <w:numFmt w:val="decimal"/>
      <w:lvlText w:val=""/>
      <w:lvlJc w:val="left"/>
    </w:lvl>
    <w:lvl w:ilvl="8" w:tplc="EE6E7ABA">
      <w:numFmt w:val="decimal"/>
      <w:lvlText w:val=""/>
      <w:lvlJc w:val="left"/>
    </w:lvl>
  </w:abstractNum>
  <w:abstractNum w:abstractNumId="6" w15:restartNumberingAfterBreak="0">
    <w:nsid w:val="617921DF"/>
    <w:multiLevelType w:val="hybridMultilevel"/>
    <w:tmpl w:val="1EFCFE0E"/>
    <w:lvl w:ilvl="0" w:tplc="E6A25DF2">
      <w:start w:val="1"/>
      <w:numFmt w:val="decimal"/>
      <w:lvlText w:val="%1."/>
      <w:lvlJc w:val="left"/>
      <w:pPr>
        <w:ind w:left="460" w:hanging="360"/>
      </w:pPr>
    </w:lvl>
    <w:lvl w:ilvl="1" w:tplc="A2865BBC">
      <w:numFmt w:val="decimal"/>
      <w:lvlText w:val=""/>
      <w:lvlJc w:val="left"/>
    </w:lvl>
    <w:lvl w:ilvl="2" w:tplc="C48A9BE8">
      <w:numFmt w:val="decimal"/>
      <w:lvlText w:val=""/>
      <w:lvlJc w:val="left"/>
    </w:lvl>
    <w:lvl w:ilvl="3" w:tplc="B19C1ADE">
      <w:numFmt w:val="decimal"/>
      <w:lvlText w:val=""/>
      <w:lvlJc w:val="left"/>
    </w:lvl>
    <w:lvl w:ilvl="4" w:tplc="0922B0A0">
      <w:numFmt w:val="decimal"/>
      <w:lvlText w:val=""/>
      <w:lvlJc w:val="left"/>
    </w:lvl>
    <w:lvl w:ilvl="5" w:tplc="A0008F68">
      <w:numFmt w:val="decimal"/>
      <w:lvlText w:val=""/>
      <w:lvlJc w:val="left"/>
    </w:lvl>
    <w:lvl w:ilvl="6" w:tplc="F24C15E6">
      <w:numFmt w:val="decimal"/>
      <w:lvlText w:val=""/>
      <w:lvlJc w:val="left"/>
    </w:lvl>
    <w:lvl w:ilvl="7" w:tplc="659A2CB4">
      <w:numFmt w:val="decimal"/>
      <w:lvlText w:val=""/>
      <w:lvlJc w:val="left"/>
    </w:lvl>
    <w:lvl w:ilvl="8" w:tplc="64D6EA36">
      <w:numFmt w:val="decimal"/>
      <w:lvlText w:val=""/>
      <w:lvlJc w:val="left"/>
    </w:lvl>
  </w:abstractNum>
  <w:num w:numId="1" w16cid:durableId="735516577">
    <w:abstractNumId w:val="0"/>
    <w:lvlOverride w:ilvl="0">
      <w:startOverride w:val="1"/>
    </w:lvlOverride>
  </w:num>
  <w:num w:numId="2" w16cid:durableId="1253392612">
    <w:abstractNumId w:val="2"/>
    <w:lvlOverride w:ilvl="0">
      <w:startOverride w:val="1"/>
    </w:lvlOverride>
  </w:num>
  <w:num w:numId="3" w16cid:durableId="400762871">
    <w:abstractNumId w:val="1"/>
    <w:lvlOverride w:ilvl="0">
      <w:startOverride w:val="1"/>
    </w:lvlOverride>
  </w:num>
  <w:num w:numId="4" w16cid:durableId="43720906">
    <w:abstractNumId w:val="6"/>
    <w:lvlOverride w:ilvl="0">
      <w:startOverride w:val="1"/>
    </w:lvlOverride>
  </w:num>
  <w:num w:numId="5" w16cid:durableId="541212583">
    <w:abstractNumId w:val="4"/>
    <w:lvlOverride w:ilvl="0">
      <w:startOverride w:val="1"/>
    </w:lvlOverride>
  </w:num>
  <w:num w:numId="6" w16cid:durableId="1622418333">
    <w:abstractNumId w:val="5"/>
    <w:lvlOverride w:ilvl="0">
      <w:startOverride w:val="1"/>
    </w:lvlOverride>
  </w:num>
  <w:num w:numId="7" w16cid:durableId="1314603081">
    <w:abstractNumId w:val="3"/>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AD4"/>
    <w:rsid w:val="001F7AD4"/>
    <w:rsid w:val="003244B7"/>
    <w:rsid w:val="005F636F"/>
    <w:rsid w:val="00EC78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D6421DB"/>
  <w15:docId w15:val="{3A7EECDD-92E7-D945-879C-0FA37E0E5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FollowedHyperlink">
    <w:name w:val="FollowedHyperlink"/>
    <w:basedOn w:val="DefaultParagraphFont"/>
    <w:uiPriority w:val="99"/>
    <w:semiHidden/>
    <w:unhideWhenUsed/>
    <w:rsid w:val="003244B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arth.google.com/web/" TargetMode="External"/><Relationship Id="rId13" Type="http://schemas.openxmlformats.org/officeDocument/2006/relationships/hyperlink" Target="https://www.jobbank.gc.ca/marketreport/summary-occupation/3493/ca" TargetMode="External"/><Relationship Id="rId3" Type="http://schemas.openxmlformats.org/officeDocument/2006/relationships/settings" Target="settings.xml"/><Relationship Id="rId7" Type="http://schemas.openxmlformats.org/officeDocument/2006/relationships/hyperlink" Target="https://geonb.snb.ca/flood_hazard_maps/index.html" TargetMode="External"/><Relationship Id="rId12" Type="http://schemas.openxmlformats.org/officeDocument/2006/relationships/hyperlink" Target="https://curriculum.nbed.ca/learning-areas/high-school-block/mathemat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nb.ca/en/campaign/geonb/applications/map-viewer.html" TargetMode="External"/><Relationship Id="rId11" Type="http://schemas.openxmlformats.org/officeDocument/2006/relationships/hyperlink" Target="https://www.gnb.ca/en/campaign/geonb.html"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curriculum.nbed.ca/curriculum-framework/what-we-teach-being-and-becoming-globally-competent/" TargetMode="External"/><Relationship Id="rId4" Type="http://schemas.openxmlformats.org/officeDocument/2006/relationships/webSettings" Target="webSettings.xml"/><Relationship Id="rId9" Type="http://schemas.openxmlformats.org/officeDocument/2006/relationships/hyperlink" Target="https://centresofexcellencenb.ca/digitalinnovation/wp-content/uploads/sites/8/2024/01/EECD-NB-Digital-Literacy-Framework.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1868</Words>
  <Characters>9583</Characters>
  <Application>Microsoft Office Word</Application>
  <DocSecurity>0</DocSecurity>
  <Lines>273</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Rankin, Sarah (EECD/EDPE)</cp:lastModifiedBy>
  <cp:revision>2</cp:revision>
  <dcterms:created xsi:type="dcterms:W3CDTF">2026-08-04T17:26:00Z</dcterms:created>
  <dcterms:modified xsi:type="dcterms:W3CDTF">2026-08-04T19:20:00Z</dcterms:modified>
</cp:coreProperties>
</file>