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38F5" w14:textId="5BA8E0E2" w:rsidR="001A1935" w:rsidRPr="001A1935" w:rsidRDefault="2A14C25E" w:rsidP="5902742E">
      <w:pPr>
        <w:rPr>
          <w:rFonts w:ascii="Calibri Light" w:eastAsia="Calibri Light" w:hAnsi="Calibri Light" w:cs="Calibri Light"/>
          <w:b/>
          <w:bCs/>
          <w:color w:val="77206D" w:themeColor="accent5" w:themeShade="BF"/>
          <w:sz w:val="56"/>
          <w:szCs w:val="56"/>
          <w:lang w:val="fr-CA"/>
        </w:rPr>
      </w:pPr>
      <w:r>
        <w:rPr>
          <w:noProof/>
        </w:rPr>
        <w:drawing>
          <wp:inline distT="0" distB="0" distL="0" distR="0" wp14:anchorId="0B11332B" wp14:editId="4F6C80B1">
            <wp:extent cx="2228850" cy="609600"/>
            <wp:effectExtent l="0" t="0" r="0" b="0"/>
            <wp:docPr id="1264399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9496" name="Picture 1264399496"/>
                    <pic:cNvPicPr/>
                  </pic:nvPicPr>
                  <pic:blipFill>
                    <a:blip r:embed="rId5">
                      <a:extLst>
                        <a:ext uri="{28A0092B-C50C-407E-A947-70E740481C1C}">
                          <a14:useLocalDpi xmlns:a14="http://schemas.microsoft.com/office/drawing/2010/main"/>
                        </a:ext>
                      </a:extLst>
                    </a:blip>
                    <a:stretch>
                      <a:fillRect/>
                    </a:stretch>
                  </pic:blipFill>
                  <pic:spPr>
                    <a:xfrm>
                      <a:off x="0" y="0"/>
                      <a:ext cx="2228850" cy="609600"/>
                    </a:xfrm>
                    <a:prstGeom prst="rect">
                      <a:avLst/>
                    </a:prstGeom>
                  </pic:spPr>
                </pic:pic>
              </a:graphicData>
            </a:graphic>
          </wp:inline>
        </w:drawing>
      </w:r>
      <w:r w:rsidR="6D45B67B" w:rsidRPr="5902742E">
        <w:rPr>
          <w:rFonts w:ascii="Calibri Light" w:eastAsia="Calibri Light" w:hAnsi="Calibri Light" w:cs="Calibri Light"/>
          <w:b/>
          <w:bCs/>
          <w:color w:val="77206D" w:themeColor="accent5" w:themeShade="BF"/>
          <w:sz w:val="56"/>
          <w:szCs w:val="56"/>
          <w:lang w:val="fr-CA"/>
        </w:rPr>
        <w:t xml:space="preserve">        </w:t>
      </w:r>
      <w:r w:rsidR="2EFE661B" w:rsidRPr="5902742E">
        <w:rPr>
          <w:rFonts w:ascii="Calibri Light" w:eastAsia="Calibri Light" w:hAnsi="Calibri Light" w:cs="Calibri Light"/>
          <w:b/>
          <w:bCs/>
          <w:color w:val="FF0000"/>
          <w:sz w:val="56"/>
          <w:szCs w:val="56"/>
          <w:lang w:val="fr-CA"/>
        </w:rPr>
        <w:t>Concevoir son propre foyer de soins de longue durée</w:t>
      </w:r>
    </w:p>
    <w:p w14:paraId="112CF494" w14:textId="163EBDBF" w:rsidR="001A1935" w:rsidRPr="00D40BCB" w:rsidRDefault="4CD984D1" w:rsidP="001A1935">
      <w:pPr>
        <w:rPr>
          <w:b/>
          <w:bCs/>
          <w:lang w:val="fr-CA"/>
        </w:rPr>
      </w:pPr>
      <w:r w:rsidRPr="0D0A261C">
        <w:rPr>
          <w:b/>
          <w:bCs/>
          <w:lang w:val="fr-CA"/>
        </w:rPr>
        <w:t>Une activité de mieux-être personne</w:t>
      </w:r>
      <w:r w:rsidR="00826569">
        <w:rPr>
          <w:b/>
          <w:bCs/>
          <w:lang w:val="fr-CA"/>
        </w:rPr>
        <w:t>l</w:t>
      </w:r>
      <w:r w:rsidRPr="0D0A261C">
        <w:rPr>
          <w:b/>
          <w:bCs/>
          <w:lang w:val="fr-CA"/>
        </w:rPr>
        <w:t xml:space="preserve"> de la</w:t>
      </w:r>
      <w:r w:rsidR="0D0A261C" w:rsidRPr="0D0A261C">
        <w:rPr>
          <w:b/>
          <w:bCs/>
          <w:lang w:val="fr-CA"/>
        </w:rPr>
        <w:t xml:space="preserve"> 6</w:t>
      </w:r>
      <w:r w:rsidR="0D0A261C" w:rsidRPr="0D0A261C">
        <w:rPr>
          <w:b/>
          <w:bCs/>
          <w:vertAlign w:val="superscript"/>
          <w:lang w:val="fr-CA"/>
        </w:rPr>
        <w:t>e</w:t>
      </w:r>
      <w:r w:rsidR="0D0A261C" w:rsidRPr="0D0A261C">
        <w:rPr>
          <w:b/>
          <w:bCs/>
          <w:lang w:val="fr-CA"/>
        </w:rPr>
        <w:t> à la 8</w:t>
      </w:r>
      <w:r w:rsidR="0D0A261C" w:rsidRPr="0D0A261C">
        <w:rPr>
          <w:b/>
          <w:bCs/>
          <w:vertAlign w:val="superscript"/>
          <w:lang w:val="fr-CA"/>
        </w:rPr>
        <w:t>e</w:t>
      </w:r>
      <w:r w:rsidR="0D0A261C" w:rsidRPr="0D0A261C">
        <w:rPr>
          <w:b/>
          <w:bCs/>
          <w:lang w:val="fr-CA"/>
        </w:rPr>
        <w:t> année</w:t>
      </w:r>
      <w:r w:rsidR="2C698C5A" w:rsidRPr="0D0A261C">
        <w:rPr>
          <w:b/>
          <w:bCs/>
          <w:lang w:val="fr-CA"/>
        </w:rPr>
        <w:t xml:space="preserve"> et</w:t>
      </w:r>
      <w:r w:rsidR="0D0A261C" w:rsidRPr="0D0A261C">
        <w:rPr>
          <w:b/>
          <w:bCs/>
          <w:lang w:val="fr-CA"/>
        </w:rPr>
        <w:t xml:space="preserve"> de la 9</w:t>
      </w:r>
      <w:r w:rsidR="0D0A261C" w:rsidRPr="0D0A261C">
        <w:rPr>
          <w:b/>
          <w:bCs/>
          <w:vertAlign w:val="superscript"/>
          <w:lang w:val="fr-CA"/>
        </w:rPr>
        <w:t>e</w:t>
      </w:r>
      <w:r w:rsidR="0D0A261C" w:rsidRPr="0D0A261C">
        <w:rPr>
          <w:b/>
          <w:bCs/>
          <w:lang w:val="fr-CA"/>
        </w:rPr>
        <w:t> à la 12</w:t>
      </w:r>
      <w:r w:rsidR="0D0A261C" w:rsidRPr="0D0A261C">
        <w:rPr>
          <w:b/>
          <w:bCs/>
          <w:vertAlign w:val="superscript"/>
          <w:lang w:val="fr-CA"/>
        </w:rPr>
        <w:t>e</w:t>
      </w:r>
      <w:r w:rsidR="0D0A261C" w:rsidRPr="0D0A261C">
        <w:rPr>
          <w:b/>
          <w:bCs/>
          <w:lang w:val="fr-CA"/>
        </w:rPr>
        <w:t> année</w:t>
      </w:r>
    </w:p>
    <w:p w14:paraId="04AF9667" w14:textId="3C093451" w:rsidR="001A1935" w:rsidRPr="001A1935" w:rsidRDefault="00D40BCB" w:rsidP="001A1935">
      <w:r>
        <w:rPr>
          <w:noProof/>
          <w:lang w:val="fr-CA"/>
        </w:rPr>
        <w:drawing>
          <wp:inline distT="0" distB="0" distL="0" distR="0" wp14:anchorId="5A768D6A" wp14:editId="07777777">
            <wp:extent cx="5943600" cy="3962400"/>
            <wp:effectExtent l="0" t="0" r="0" b="0"/>
            <wp:docPr id="1580389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89659"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3962400"/>
                    </a:xfrm>
                    <a:prstGeom prst="rect">
                      <a:avLst/>
                    </a:prstGeom>
                    <a:noFill/>
                    <a:ln>
                      <a:noFill/>
                    </a:ln>
                  </pic:spPr>
                </pic:pic>
              </a:graphicData>
            </a:graphic>
          </wp:inline>
        </w:drawing>
      </w:r>
    </w:p>
    <w:p w14:paraId="5F29AF94" w14:textId="77777777" w:rsidR="001A1935" w:rsidRPr="00D40BCB" w:rsidRDefault="2EFE661B" w:rsidP="5902742E">
      <w:pPr>
        <w:rPr>
          <w:b/>
          <w:bCs/>
          <w:color w:val="FF0000"/>
          <w:lang w:val="fr-CA"/>
        </w:rPr>
      </w:pPr>
      <w:r w:rsidRPr="5902742E">
        <w:rPr>
          <w:b/>
          <w:bCs/>
          <w:color w:val="FF0000"/>
          <w:lang w:val="fr-CA"/>
        </w:rPr>
        <w:t>Aperçu</w:t>
      </w:r>
    </w:p>
    <w:p w14:paraId="5D41A984" w14:textId="77777777" w:rsidR="001A1935" w:rsidRPr="00D40BCB" w:rsidRDefault="00D40BCB" w:rsidP="001A1935">
      <w:pPr>
        <w:rPr>
          <w:lang w:val="fr-CA"/>
        </w:rPr>
      </w:pPr>
      <w:r>
        <w:rPr>
          <w:lang w:val="fr-CA"/>
        </w:rPr>
        <w:t>Le Nouveau-Brunswick a l’une des plus fortes proportions de personnes âgées au pays. Il est important que les élèves connaissent les différents groupes d’âge et les caractéristiques démographiques de nos collectivités. Dans le cadre de cette activité, les élèves découvriront les établissements de soins de longue durée (SLD) dans leur collectivité et exploreront les possibilités de carrière qui y sont offertes. Ils discuteront également de la façon dont ils peuvent contribuer au bien-être de leur collectivité en travaillant, directement ou indirectement, avec les résidents des foyers de SLD.</w:t>
      </w:r>
    </w:p>
    <w:p w14:paraId="3B11043F" w14:textId="543E6C35" w:rsidR="001A1935" w:rsidRPr="001A1935" w:rsidRDefault="001A1935" w:rsidP="0D0A261C">
      <w:pPr>
        <w:rPr>
          <w:b/>
          <w:bCs/>
          <w:lang w:val="fr-CA"/>
        </w:rPr>
      </w:pPr>
    </w:p>
    <w:p w14:paraId="0736660D" w14:textId="77777777" w:rsidR="008936E7" w:rsidRDefault="008936E7" w:rsidP="5902742E">
      <w:pPr>
        <w:rPr>
          <w:b/>
          <w:bCs/>
          <w:color w:val="FF0000"/>
          <w:lang w:val="fr-CA"/>
        </w:rPr>
      </w:pPr>
    </w:p>
    <w:p w14:paraId="16DCAFD1" w14:textId="39081C67" w:rsidR="001A1935" w:rsidRPr="001A1935" w:rsidRDefault="2EFE661B" w:rsidP="5902742E">
      <w:pPr>
        <w:rPr>
          <w:b/>
          <w:bCs/>
          <w:color w:val="FF0000"/>
          <w:lang w:val="fr-CA"/>
        </w:rPr>
      </w:pPr>
      <w:r w:rsidRPr="5902742E">
        <w:rPr>
          <w:b/>
          <w:bCs/>
          <w:color w:val="FF0000"/>
          <w:lang w:val="fr-CA"/>
        </w:rPr>
        <w:lastRenderedPageBreak/>
        <w:t>Liens avec le programme d’études</w:t>
      </w:r>
      <w:r w:rsidR="431143CC" w:rsidRPr="5902742E">
        <w:rPr>
          <w:b/>
          <w:bCs/>
          <w:color w:val="FF0000"/>
          <w:lang w:val="fr-CA"/>
        </w:rPr>
        <w:t xml:space="preserve"> du Nouveau Brunswick</w:t>
      </w:r>
      <w:r w:rsidRPr="5902742E">
        <w:rPr>
          <w:b/>
          <w:bCs/>
          <w:color w:val="FF0000"/>
          <w:lang w:val="fr-CA"/>
        </w:rPr>
        <w:t>:</w:t>
      </w:r>
    </w:p>
    <w:p w14:paraId="2B51B0FB" w14:textId="77777777" w:rsidR="001A1935" w:rsidRPr="00D40BCB" w:rsidRDefault="00D40BCB" w:rsidP="001A1935">
      <w:pPr>
        <w:rPr>
          <w:lang w:val="fr-CA"/>
        </w:rPr>
      </w:pPr>
      <w:r>
        <w:rPr>
          <w:b/>
          <w:bCs/>
          <w:lang w:val="fr-CA"/>
        </w:rPr>
        <w:t>Mieux-être personnel de la 6</w:t>
      </w:r>
      <w:r>
        <w:rPr>
          <w:b/>
          <w:bCs/>
          <w:vertAlign w:val="superscript"/>
          <w:lang w:val="fr-CA"/>
        </w:rPr>
        <w:t>e</w:t>
      </w:r>
      <w:r>
        <w:rPr>
          <w:b/>
          <w:bCs/>
          <w:lang w:val="fr-CA"/>
        </w:rPr>
        <w:t xml:space="preserve"> à la 8</w:t>
      </w:r>
      <w:r>
        <w:rPr>
          <w:b/>
          <w:bCs/>
          <w:vertAlign w:val="superscript"/>
          <w:lang w:val="fr-CA"/>
        </w:rPr>
        <w:t>e</w:t>
      </w:r>
      <w:r>
        <w:rPr>
          <w:b/>
          <w:bCs/>
          <w:lang w:val="fr-CA"/>
        </w:rPr>
        <w:t> année</w:t>
      </w:r>
    </w:p>
    <w:p w14:paraId="77FF4EAB" w14:textId="77777777" w:rsidR="001A1935" w:rsidRPr="00D40BCB" w:rsidRDefault="00D40BCB" w:rsidP="001A1935">
      <w:pPr>
        <w:numPr>
          <w:ilvl w:val="0"/>
          <w:numId w:val="1"/>
        </w:numPr>
        <w:rPr>
          <w:lang w:val="fr-CA"/>
        </w:rPr>
      </w:pPr>
      <w:r>
        <w:rPr>
          <w:i/>
          <w:iCs/>
          <w:lang w:val="fr-CA"/>
        </w:rPr>
        <w:t>Volet</w:t>
      </w:r>
      <w:r>
        <w:rPr>
          <w:lang w:val="fr-CA"/>
        </w:rPr>
        <w:t> :</w:t>
      </w:r>
      <w:r>
        <w:rPr>
          <w:b/>
          <w:bCs/>
          <w:lang w:val="fr-CA"/>
        </w:rPr>
        <w:t> </w:t>
      </w:r>
      <w:r>
        <w:rPr>
          <w:lang w:val="fr-CA"/>
        </w:rPr>
        <w:t xml:space="preserve">Apprentissage lié à la carrière – </w:t>
      </w:r>
      <w:r>
        <w:rPr>
          <w:i/>
          <w:iCs/>
          <w:lang w:val="fr-CA"/>
        </w:rPr>
        <w:t>Grandes idées</w:t>
      </w:r>
      <w:r>
        <w:rPr>
          <w:lang w:val="fr-CA"/>
        </w:rPr>
        <w:t> :</w:t>
      </w:r>
      <w:r>
        <w:rPr>
          <w:b/>
          <w:bCs/>
          <w:lang w:val="fr-CA"/>
        </w:rPr>
        <w:t> </w:t>
      </w:r>
      <w:r>
        <w:rPr>
          <w:lang w:val="fr-CA"/>
        </w:rPr>
        <w:t xml:space="preserve">Explorer des parcours professionnels potentiels – </w:t>
      </w:r>
      <w:r>
        <w:rPr>
          <w:i/>
          <w:iCs/>
          <w:lang w:val="fr-CA"/>
        </w:rPr>
        <w:t>Descripteurs de compétences</w:t>
      </w:r>
      <w:r>
        <w:rPr>
          <w:lang w:val="fr-CA"/>
        </w:rPr>
        <w:t> :</w:t>
      </w:r>
      <w:r>
        <w:rPr>
          <w:b/>
          <w:bCs/>
          <w:lang w:val="fr-CA"/>
        </w:rPr>
        <w:t> </w:t>
      </w:r>
      <w:r>
        <w:rPr>
          <w:lang w:val="fr-CA"/>
        </w:rPr>
        <w:t>Étudier de façon critique et décrire le marché du travail et les parcours professionnels préférés.</w:t>
      </w:r>
    </w:p>
    <w:p w14:paraId="1879ECE3" w14:textId="77777777" w:rsidR="001A1935" w:rsidRPr="00D40BCB" w:rsidRDefault="00D40BCB" w:rsidP="001A1935">
      <w:pPr>
        <w:numPr>
          <w:ilvl w:val="0"/>
          <w:numId w:val="1"/>
        </w:numPr>
        <w:rPr>
          <w:lang w:val="fr-CA"/>
        </w:rPr>
      </w:pPr>
      <w:r>
        <w:rPr>
          <w:i/>
          <w:iCs/>
          <w:lang w:val="fr-CA"/>
        </w:rPr>
        <w:t>Volet</w:t>
      </w:r>
      <w:r>
        <w:rPr>
          <w:lang w:val="fr-CA"/>
        </w:rPr>
        <w:t> :</w:t>
      </w:r>
      <w:r>
        <w:rPr>
          <w:b/>
          <w:bCs/>
          <w:lang w:val="fr-CA"/>
        </w:rPr>
        <w:t> </w:t>
      </w:r>
      <w:r>
        <w:rPr>
          <w:lang w:val="fr-CA"/>
        </w:rPr>
        <w:t xml:space="preserve">Relations – </w:t>
      </w:r>
      <w:r>
        <w:rPr>
          <w:i/>
          <w:iCs/>
          <w:lang w:val="fr-CA"/>
        </w:rPr>
        <w:t>Grandes idées</w:t>
      </w:r>
      <w:r>
        <w:rPr>
          <w:lang w:val="fr-CA"/>
        </w:rPr>
        <w:t xml:space="preserve"> : Relations saines – </w:t>
      </w:r>
      <w:r>
        <w:rPr>
          <w:i/>
          <w:iCs/>
          <w:lang w:val="fr-CA"/>
        </w:rPr>
        <w:t>Descripteurs de compétences </w:t>
      </w:r>
      <w:r>
        <w:rPr>
          <w:b/>
          <w:bCs/>
          <w:lang w:val="fr-CA"/>
        </w:rPr>
        <w:t>:</w:t>
      </w:r>
    </w:p>
    <w:p w14:paraId="18817032" w14:textId="77777777" w:rsidR="001A1935" w:rsidRPr="00D40BCB" w:rsidRDefault="00D40BCB" w:rsidP="001A1935">
      <w:pPr>
        <w:numPr>
          <w:ilvl w:val="1"/>
          <w:numId w:val="1"/>
        </w:numPr>
        <w:rPr>
          <w:lang w:val="fr-CA"/>
        </w:rPr>
      </w:pPr>
      <w:r>
        <w:rPr>
          <w:lang w:val="fr-CA"/>
        </w:rPr>
        <w:t>6</w:t>
      </w:r>
      <w:r>
        <w:rPr>
          <w:vertAlign w:val="superscript"/>
          <w:lang w:val="fr-CA"/>
        </w:rPr>
        <w:t>e </w:t>
      </w:r>
      <w:r>
        <w:rPr>
          <w:lang w:val="fr-CA"/>
        </w:rPr>
        <w:t>année : Discuter des caractéristiques des relations saines.</w:t>
      </w:r>
    </w:p>
    <w:p w14:paraId="38B9FCB1" w14:textId="77777777" w:rsidR="001A1935" w:rsidRPr="00D40BCB" w:rsidRDefault="00D40BCB" w:rsidP="001A1935">
      <w:pPr>
        <w:numPr>
          <w:ilvl w:val="1"/>
          <w:numId w:val="1"/>
        </w:numPr>
        <w:rPr>
          <w:lang w:val="fr-CA"/>
        </w:rPr>
      </w:pPr>
      <w:r>
        <w:rPr>
          <w:lang w:val="fr-CA"/>
        </w:rPr>
        <w:t>7</w:t>
      </w:r>
      <w:r>
        <w:rPr>
          <w:vertAlign w:val="superscript"/>
          <w:lang w:val="fr-CA"/>
        </w:rPr>
        <w:t>e</w:t>
      </w:r>
      <w:r>
        <w:rPr>
          <w:lang w:val="fr-CA"/>
        </w:rPr>
        <w:t> année : Décrire les caractéristiques permettant d’établir et de maintenir des relations saines.</w:t>
      </w:r>
    </w:p>
    <w:p w14:paraId="2A041D2C" w14:textId="7D43FF20" w:rsidR="001A1935" w:rsidRPr="00D40BCB" w:rsidRDefault="0D0A261C" w:rsidP="0D0A261C">
      <w:pPr>
        <w:numPr>
          <w:ilvl w:val="1"/>
          <w:numId w:val="1"/>
        </w:numPr>
        <w:rPr>
          <w:lang w:val="fr-CA"/>
        </w:rPr>
      </w:pPr>
      <w:r w:rsidRPr="0D0A261C">
        <w:rPr>
          <w:lang w:val="fr-CA"/>
        </w:rPr>
        <w:t>8</w:t>
      </w:r>
      <w:r w:rsidRPr="0D0A261C">
        <w:rPr>
          <w:vertAlign w:val="superscript"/>
          <w:lang w:val="fr-CA"/>
        </w:rPr>
        <w:t>e</w:t>
      </w:r>
      <w:r w:rsidRPr="0D0A261C">
        <w:rPr>
          <w:lang w:val="fr-CA"/>
        </w:rPr>
        <w:t> année : Décrire des stratégies pour établir et maintenir des relations saines.</w:t>
      </w:r>
    </w:p>
    <w:p w14:paraId="7ADFDD00" w14:textId="77777777" w:rsidR="001A1935" w:rsidRPr="00826569" w:rsidRDefault="2EFE661B" w:rsidP="5902742E">
      <w:pPr>
        <w:rPr>
          <w:b/>
          <w:bCs/>
          <w:color w:val="000000" w:themeColor="text1"/>
          <w:lang w:val="fr-CA"/>
        </w:rPr>
      </w:pPr>
      <w:r w:rsidRPr="00826569">
        <w:rPr>
          <w:b/>
          <w:bCs/>
          <w:color w:val="000000" w:themeColor="text1"/>
          <w:lang w:val="fr-CA"/>
        </w:rPr>
        <w:t>Mieux-être personnel de la 9</w:t>
      </w:r>
      <w:r w:rsidRPr="00826569">
        <w:rPr>
          <w:b/>
          <w:bCs/>
          <w:color w:val="000000" w:themeColor="text1"/>
          <w:vertAlign w:val="superscript"/>
          <w:lang w:val="fr-CA"/>
        </w:rPr>
        <w:t>e</w:t>
      </w:r>
      <w:r w:rsidRPr="00826569">
        <w:rPr>
          <w:b/>
          <w:bCs/>
          <w:color w:val="000000" w:themeColor="text1"/>
          <w:lang w:val="fr-CA"/>
        </w:rPr>
        <w:t> année</w:t>
      </w:r>
    </w:p>
    <w:p w14:paraId="792E35CB" w14:textId="77777777" w:rsidR="001A1935" w:rsidRPr="00D40BCB" w:rsidRDefault="00D40BCB" w:rsidP="001A1935">
      <w:pPr>
        <w:numPr>
          <w:ilvl w:val="0"/>
          <w:numId w:val="2"/>
        </w:numPr>
        <w:rPr>
          <w:lang w:val="fr-CA"/>
        </w:rPr>
      </w:pPr>
      <w:r>
        <w:rPr>
          <w:i/>
          <w:iCs/>
          <w:lang w:val="fr-CA"/>
        </w:rPr>
        <w:t>Volet :</w:t>
      </w:r>
      <w:r>
        <w:rPr>
          <w:lang w:val="fr-CA"/>
        </w:rPr>
        <w:t xml:space="preserve"> Apprentissage lié à la carrière – </w:t>
      </w:r>
      <w:r>
        <w:rPr>
          <w:i/>
          <w:iCs/>
          <w:lang w:val="fr-CA"/>
        </w:rPr>
        <w:t>Grandes idées</w:t>
      </w:r>
      <w:r>
        <w:rPr>
          <w:lang w:val="fr-CA"/>
        </w:rPr>
        <w:t xml:space="preserve"> : Explorer des parcours professionnels potentiels – </w:t>
      </w:r>
      <w:r>
        <w:rPr>
          <w:i/>
          <w:iCs/>
          <w:lang w:val="fr-CA"/>
        </w:rPr>
        <w:t>Descripteurs de compétences</w:t>
      </w:r>
      <w:r>
        <w:rPr>
          <w:lang w:val="fr-CA"/>
        </w:rPr>
        <w:t> : Étudier de façon critique et décrire le marché du travail et les parcours professionnels préférés.</w:t>
      </w:r>
    </w:p>
    <w:p w14:paraId="7CD2A30E" w14:textId="77777777" w:rsidR="001A1935" w:rsidRPr="00D40BCB" w:rsidRDefault="00D40BCB" w:rsidP="001A1935">
      <w:pPr>
        <w:numPr>
          <w:ilvl w:val="0"/>
          <w:numId w:val="2"/>
        </w:numPr>
        <w:rPr>
          <w:lang w:val="fr-CA"/>
        </w:rPr>
      </w:pPr>
      <w:r>
        <w:rPr>
          <w:i/>
          <w:iCs/>
          <w:lang w:val="fr-CA"/>
        </w:rPr>
        <w:t>Volet :</w:t>
      </w:r>
      <w:r>
        <w:rPr>
          <w:lang w:val="fr-CA"/>
        </w:rPr>
        <w:t xml:space="preserve"> Relations – </w:t>
      </w:r>
      <w:r>
        <w:rPr>
          <w:i/>
          <w:iCs/>
          <w:lang w:val="fr-CA"/>
        </w:rPr>
        <w:t>Grandes idées</w:t>
      </w:r>
      <w:r>
        <w:rPr>
          <w:lang w:val="fr-CA"/>
        </w:rPr>
        <w:t xml:space="preserve"> : Relations saines – </w:t>
      </w:r>
      <w:r>
        <w:rPr>
          <w:i/>
          <w:iCs/>
          <w:lang w:val="fr-CA"/>
        </w:rPr>
        <w:t>Descripteurs de compétences </w:t>
      </w:r>
      <w:r>
        <w:rPr>
          <w:lang w:val="fr-CA"/>
        </w:rPr>
        <w:t>: Évaluer l’influence du respect, de l’empathie, du pouvoir et de la coercition sur l’établissement et le maintien de relations respectueuses, y compris les relations sexuelles.</w:t>
      </w:r>
    </w:p>
    <w:p w14:paraId="37C64919" w14:textId="1DDF1C44" w:rsidR="001A1935" w:rsidRPr="001A1935" w:rsidRDefault="218F78F6" w:rsidP="5902742E">
      <w:pPr>
        <w:rPr>
          <w:b/>
          <w:bCs/>
          <w:color w:val="FF0000"/>
          <w:lang w:val="fr-CA"/>
        </w:rPr>
      </w:pPr>
      <w:r w:rsidRPr="5902742E">
        <w:rPr>
          <w:b/>
          <w:bCs/>
          <w:color w:val="FF0000"/>
          <w:lang w:val="fr-CA"/>
        </w:rPr>
        <w:t>Directives</w:t>
      </w:r>
    </w:p>
    <w:p w14:paraId="4CEF050B" w14:textId="77777777" w:rsidR="001A1935" w:rsidRPr="001A1935" w:rsidRDefault="00D40BCB" w:rsidP="001A1935">
      <w:pPr>
        <w:numPr>
          <w:ilvl w:val="0"/>
          <w:numId w:val="3"/>
        </w:numPr>
      </w:pPr>
      <w:r>
        <w:rPr>
          <w:lang w:val="fr-CA"/>
        </w:rPr>
        <w:t>Commencer par une discussion.</w:t>
      </w:r>
    </w:p>
    <w:p w14:paraId="08A16359" w14:textId="77777777" w:rsidR="001A1935" w:rsidRPr="00D40BCB" w:rsidRDefault="00D40BCB" w:rsidP="001A1935">
      <w:pPr>
        <w:numPr>
          <w:ilvl w:val="1"/>
          <w:numId w:val="3"/>
        </w:numPr>
        <w:rPr>
          <w:lang w:val="fr-CA"/>
        </w:rPr>
      </w:pPr>
      <w:r>
        <w:rPr>
          <w:lang w:val="fr-CA"/>
        </w:rPr>
        <w:t>Où peuvent vivre les personnes âgées lorsqu’elles ont besoin de soutien ou d’aide pour leurs activités quotidiennes?</w:t>
      </w:r>
    </w:p>
    <w:p w14:paraId="326CF379" w14:textId="77777777" w:rsidR="001A1935" w:rsidRPr="00D40BCB" w:rsidRDefault="00D40BCB" w:rsidP="001A1935">
      <w:pPr>
        <w:numPr>
          <w:ilvl w:val="1"/>
          <w:numId w:val="3"/>
        </w:numPr>
        <w:rPr>
          <w:lang w:val="fr-CA"/>
        </w:rPr>
      </w:pPr>
      <w:r>
        <w:rPr>
          <w:lang w:val="fr-CA"/>
        </w:rPr>
        <w:t>Y a-t-il des foyers de soins de longue durée ou des résidences assistées à proximité de votre école ou de votre collectivité?</w:t>
      </w:r>
    </w:p>
    <w:p w14:paraId="18C52DE5" w14:textId="77777777" w:rsidR="001A1935" w:rsidRPr="00D40BCB" w:rsidRDefault="00D40BCB" w:rsidP="001A1935">
      <w:pPr>
        <w:numPr>
          <w:ilvl w:val="1"/>
          <w:numId w:val="3"/>
        </w:numPr>
        <w:rPr>
          <w:lang w:val="fr-CA"/>
        </w:rPr>
      </w:pPr>
      <w:r>
        <w:rPr>
          <w:lang w:val="fr-CA"/>
        </w:rPr>
        <w:t>Qui a déjà visité un établissement de soins de longue durée ou un foyer de soins?</w:t>
      </w:r>
    </w:p>
    <w:p w14:paraId="5F7E61DD" w14:textId="77777777" w:rsidR="001A1935" w:rsidRPr="00D40BCB" w:rsidRDefault="00D40BCB" w:rsidP="001A1935">
      <w:pPr>
        <w:numPr>
          <w:ilvl w:val="1"/>
          <w:numId w:val="3"/>
        </w:numPr>
        <w:rPr>
          <w:lang w:val="fr-CA"/>
        </w:rPr>
      </w:pPr>
      <w:r>
        <w:rPr>
          <w:lang w:val="fr-CA"/>
        </w:rPr>
        <w:t>Qui travaille dans un foyer de soins de longue durée?</w:t>
      </w:r>
    </w:p>
    <w:p w14:paraId="0E7D338E" w14:textId="77777777" w:rsidR="001A1935" w:rsidRPr="00D40BCB" w:rsidRDefault="00D40BCB" w:rsidP="001A1935">
      <w:pPr>
        <w:numPr>
          <w:ilvl w:val="1"/>
          <w:numId w:val="3"/>
        </w:numPr>
        <w:rPr>
          <w:lang w:val="fr-CA"/>
        </w:rPr>
      </w:pPr>
      <w:r>
        <w:rPr>
          <w:lang w:val="fr-CA"/>
        </w:rPr>
        <w:t>Qui connaît quelqu’un qui a travaillé dans un foyer de SLD?</w:t>
      </w:r>
    </w:p>
    <w:p w14:paraId="742F8103" w14:textId="77777777" w:rsidR="001A1935" w:rsidRPr="00D40BCB" w:rsidRDefault="00D40BCB" w:rsidP="001A1935">
      <w:pPr>
        <w:numPr>
          <w:ilvl w:val="0"/>
          <w:numId w:val="3"/>
        </w:numPr>
        <w:rPr>
          <w:lang w:val="fr-CA"/>
        </w:rPr>
      </w:pPr>
      <w:r>
        <w:rPr>
          <w:lang w:val="fr-CA"/>
        </w:rPr>
        <w:lastRenderedPageBreak/>
        <w:t>Regarder la vidéo </w:t>
      </w:r>
      <w:hyperlink r:id="rId7" w:history="1">
        <w:r w:rsidR="001A1935">
          <w:rPr>
            <w:rStyle w:val="Hyperlink"/>
            <w:b/>
            <w:bCs/>
            <w:lang w:val="fr-CA"/>
          </w:rPr>
          <w:t>« Virtual Tour of a Long-Term Care (LTC) Home » – Explore Careers in LTC</w:t>
        </w:r>
      </w:hyperlink>
      <w:r>
        <w:rPr>
          <w:lang w:val="fr-CA"/>
        </w:rPr>
        <w:t> sous l’onglet Speaker Series, sur le site Web du Centre of Excellence Health (en anglais seulement).</w:t>
      </w:r>
    </w:p>
    <w:p w14:paraId="5D75334B" w14:textId="4E41AED0" w:rsidR="001A1935" w:rsidRPr="00D40BCB" w:rsidRDefault="5902742E" w:rsidP="001A1935">
      <w:pPr>
        <w:numPr>
          <w:ilvl w:val="0"/>
          <w:numId w:val="3"/>
        </w:numPr>
        <w:rPr>
          <w:lang w:val="fr-CA"/>
        </w:rPr>
      </w:pPr>
      <w:r w:rsidRPr="5902742E">
        <w:rPr>
          <w:b/>
          <w:bCs/>
          <w:color w:val="FF0000"/>
          <w:lang w:val="fr-CA"/>
        </w:rPr>
        <w:t>Visiter un foyer de soins de longue durée de la collectivité</w:t>
      </w:r>
      <w:r w:rsidR="00826569">
        <w:rPr>
          <w:b/>
          <w:bCs/>
          <w:color w:val="FF0000"/>
          <w:lang w:val="fr-CA"/>
        </w:rPr>
        <w:t xml:space="preserve"> </w:t>
      </w:r>
      <w:r w:rsidRPr="5902742E">
        <w:rPr>
          <w:b/>
          <w:bCs/>
          <w:color w:val="FF0000"/>
          <w:lang w:val="fr-CA"/>
        </w:rPr>
        <w:t>!</w:t>
      </w:r>
      <w:r w:rsidRPr="5902742E">
        <w:rPr>
          <w:lang w:val="fr-CA"/>
        </w:rPr>
        <w:t xml:space="preserve"> – Communiquer avec Daneen Dymond, responsable du Centre of Excellence Health, à l’adresse daneen.dymond@gnb.ca, pour planifier une visite d’établissement de SLD ou une visite avec des personnes âgées de votre collectivité.</w:t>
      </w:r>
    </w:p>
    <w:p w14:paraId="743DB0F7" w14:textId="77777777" w:rsidR="001A1935" w:rsidRPr="00D40BCB" w:rsidRDefault="00D40BCB" w:rsidP="001A1935">
      <w:pPr>
        <w:numPr>
          <w:ilvl w:val="0"/>
          <w:numId w:val="3"/>
        </w:numPr>
        <w:rPr>
          <w:lang w:val="fr-CA"/>
        </w:rPr>
      </w:pPr>
      <w:r>
        <w:rPr>
          <w:lang w:val="fr-CA"/>
        </w:rPr>
        <w:t>Pendant la visite, encourager les élèves à prendre note des installations, des commodités, des employés, des activités auxquelles ont accès les résidents et de tout ce qui suscite leur intérêt.</w:t>
      </w:r>
    </w:p>
    <w:p w14:paraId="7DBAE312" w14:textId="77777777" w:rsidR="001A1935" w:rsidRPr="00D40BCB" w:rsidRDefault="5902742E" w:rsidP="001A1935">
      <w:pPr>
        <w:numPr>
          <w:ilvl w:val="0"/>
          <w:numId w:val="3"/>
        </w:numPr>
        <w:rPr>
          <w:lang w:val="fr-CA"/>
        </w:rPr>
      </w:pPr>
      <w:r w:rsidRPr="5902742E">
        <w:rPr>
          <w:b/>
          <w:bCs/>
          <w:color w:val="FF0000"/>
          <w:lang w:val="fr-CA"/>
        </w:rPr>
        <w:t>Concevoir votre propre foyer de soins de longue durée</w:t>
      </w:r>
      <w:r w:rsidRPr="5902742E">
        <w:rPr>
          <w:color w:val="FF0000"/>
          <w:lang w:val="fr-CA"/>
        </w:rPr>
        <w:t>.</w:t>
      </w:r>
      <w:r w:rsidRPr="5902742E">
        <w:rPr>
          <w:lang w:val="fr-CA"/>
        </w:rPr>
        <w:t xml:space="preserve"> Les élèves décident de la conception du bâtiment, du nombre de chambres, de l’aménagement paysager et de tout autre service ou club qui, selon eux, devraient faire partie du foyer de SLD (p. ex., spa, studio de danse, étangs de pêche, club de lecture).</w:t>
      </w:r>
    </w:p>
    <w:p w14:paraId="05A626C0" w14:textId="77777777" w:rsidR="001A1935" w:rsidRPr="00D40BCB" w:rsidRDefault="00D40BCB" w:rsidP="001A1935">
      <w:pPr>
        <w:numPr>
          <w:ilvl w:val="1"/>
          <w:numId w:val="3"/>
        </w:numPr>
        <w:rPr>
          <w:lang w:val="fr-CA"/>
        </w:rPr>
      </w:pPr>
      <w:r>
        <w:rPr>
          <w:lang w:val="fr-CA"/>
        </w:rPr>
        <w:t>Le modèle peut être sous forme de diorama, de dessin, de plan ou même être créé dans Minecraft.</w:t>
      </w:r>
    </w:p>
    <w:p w14:paraId="522934F1" w14:textId="77777777" w:rsidR="001A1935" w:rsidRPr="00D40BCB" w:rsidRDefault="00D40BCB" w:rsidP="001A1935">
      <w:pPr>
        <w:numPr>
          <w:ilvl w:val="0"/>
          <w:numId w:val="3"/>
        </w:numPr>
        <w:rPr>
          <w:lang w:val="fr-CA"/>
        </w:rPr>
      </w:pPr>
      <w:r>
        <w:rPr>
          <w:lang w:val="fr-CA"/>
        </w:rPr>
        <w:t>Donner la chance aux élèves de présenter leur projet et d’expliquer pourquoi ils ont décidé d’inclure ces installations ou ces clubs.</w:t>
      </w:r>
    </w:p>
    <w:p w14:paraId="11E0ED4D" w14:textId="77777777" w:rsidR="001A1935" w:rsidRPr="00D40BCB" w:rsidRDefault="00D40BCB" w:rsidP="001A1935">
      <w:pPr>
        <w:numPr>
          <w:ilvl w:val="0"/>
          <w:numId w:val="3"/>
        </w:numPr>
        <w:rPr>
          <w:lang w:val="fr-CA"/>
        </w:rPr>
      </w:pPr>
      <w:r>
        <w:rPr>
          <w:b/>
          <w:bCs/>
          <w:lang w:val="fr-CA"/>
        </w:rPr>
        <w:t>Complément facultatif </w:t>
      </w:r>
      <w:r>
        <w:rPr>
          <w:lang w:val="fr-CA"/>
        </w:rPr>
        <w:t>: Les élèves des niveaux scolaires supérieurs peuvent également communiquer avec leur coordonnateur du programme d’enseignement coopératif ou avec leur conseiller scolaire pour faire un éventuel stage dans un foyer de soins de longue durée de leur région.</w:t>
      </w:r>
    </w:p>
    <w:p w14:paraId="7CFC5E16" w14:textId="77777777" w:rsidR="001A1935" w:rsidRPr="00D40BCB" w:rsidRDefault="2EFE661B" w:rsidP="5902742E">
      <w:pPr>
        <w:rPr>
          <w:b/>
          <w:bCs/>
          <w:color w:val="FF0000"/>
          <w:lang w:val="fr-CA"/>
        </w:rPr>
      </w:pPr>
      <w:r w:rsidRPr="5902742E">
        <w:rPr>
          <w:b/>
          <w:bCs/>
          <w:color w:val="FF0000"/>
          <w:lang w:val="fr-CA"/>
        </w:rPr>
        <w:t>Activité de réflexion</w:t>
      </w:r>
    </w:p>
    <w:p w14:paraId="78B27E41" w14:textId="77777777" w:rsidR="001A1935" w:rsidRPr="00D40BCB" w:rsidRDefault="00D40BCB" w:rsidP="001A1935">
      <w:pPr>
        <w:rPr>
          <w:lang w:val="fr-CA"/>
        </w:rPr>
      </w:pPr>
      <w:r>
        <w:rPr>
          <w:lang w:val="fr-CA"/>
        </w:rPr>
        <w:t>Consulter le PDF ci-joint reprenant plusieurs pistes de réflexion, pour vos élèves et vous, sur l’activité d’aujourd’hui.</w:t>
      </w:r>
    </w:p>
    <w:p w14:paraId="72A28503" w14:textId="77777777" w:rsidR="001A1935" w:rsidRPr="001A1935" w:rsidRDefault="2EFE661B" w:rsidP="5902742E">
      <w:pPr>
        <w:rPr>
          <w:b/>
          <w:bCs/>
          <w:color w:val="FF0000"/>
        </w:rPr>
      </w:pPr>
      <w:r w:rsidRPr="5902742E">
        <w:rPr>
          <w:b/>
          <w:bCs/>
          <w:color w:val="FF0000"/>
          <w:lang w:val="fr-CA"/>
        </w:rPr>
        <w:t> Compétences globales</w:t>
      </w:r>
    </w:p>
    <w:p w14:paraId="5FD5B89A" w14:textId="77777777" w:rsidR="001A1935" w:rsidRPr="00D40BCB" w:rsidRDefault="001A1935" w:rsidP="001A1935">
      <w:pPr>
        <w:numPr>
          <w:ilvl w:val="0"/>
          <w:numId w:val="4"/>
        </w:numPr>
        <w:rPr>
          <w:lang w:val="fr-CA"/>
        </w:rPr>
      </w:pPr>
      <w:hyperlink r:id="rId8" w:history="1">
        <w:r>
          <w:rPr>
            <w:rStyle w:val="Hyperlink"/>
            <w:b/>
            <w:bCs/>
            <w:lang w:val="fr-CA"/>
          </w:rPr>
          <w:t>Pensée critique et résolution de problèmes</w:t>
        </w:r>
      </w:hyperlink>
    </w:p>
    <w:p w14:paraId="2517D72B" w14:textId="77777777" w:rsidR="001A1935" w:rsidRPr="001A1935" w:rsidRDefault="001A1935" w:rsidP="001A1935">
      <w:pPr>
        <w:numPr>
          <w:ilvl w:val="0"/>
          <w:numId w:val="4"/>
        </w:numPr>
      </w:pPr>
      <w:hyperlink r:id="rId9" w:history="1">
        <w:r>
          <w:rPr>
            <w:rStyle w:val="Hyperlink"/>
            <w:b/>
            <w:bCs/>
            <w:lang w:val="fr-CA"/>
          </w:rPr>
          <w:t>Innovation, créativité et entrepreneuriat</w:t>
        </w:r>
      </w:hyperlink>
    </w:p>
    <w:p w14:paraId="1EA663B1" w14:textId="77777777" w:rsidR="001A1935" w:rsidRPr="001A1935" w:rsidRDefault="001A1935" w:rsidP="001A1935">
      <w:pPr>
        <w:numPr>
          <w:ilvl w:val="0"/>
          <w:numId w:val="4"/>
        </w:numPr>
      </w:pPr>
      <w:hyperlink r:id="rId10" w:history="1">
        <w:r>
          <w:rPr>
            <w:rStyle w:val="Hyperlink"/>
            <w:b/>
            <w:bCs/>
            <w:lang w:val="fr-CA"/>
          </w:rPr>
          <w:t>Conscience de soi et autogestion</w:t>
        </w:r>
      </w:hyperlink>
    </w:p>
    <w:p w14:paraId="63E7983D" w14:textId="77777777" w:rsidR="00E272E8" w:rsidRDefault="00E272E8"/>
    <w:sectPr w:rsidR="00E272E8">
      <w:pgSz w:w="12240" w:h="15840"/>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D5BB4"/>
    <w:multiLevelType w:val="multilevel"/>
    <w:tmpl w:val="9F88AC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E8695B"/>
    <w:multiLevelType w:val="multilevel"/>
    <w:tmpl w:val="14C4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A61FED"/>
    <w:multiLevelType w:val="multilevel"/>
    <w:tmpl w:val="F2AC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E467C"/>
    <w:multiLevelType w:val="multilevel"/>
    <w:tmpl w:val="ACE0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380099">
    <w:abstractNumId w:val="2"/>
  </w:num>
  <w:num w:numId="2" w16cid:durableId="431516383">
    <w:abstractNumId w:val="1"/>
  </w:num>
  <w:num w:numId="3" w16cid:durableId="1151555998">
    <w:abstractNumId w:val="0"/>
  </w:num>
  <w:num w:numId="4" w16cid:durableId="2027171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35"/>
    <w:rsid w:val="00126D3E"/>
    <w:rsid w:val="001A1935"/>
    <w:rsid w:val="00593986"/>
    <w:rsid w:val="00741D9B"/>
    <w:rsid w:val="00826569"/>
    <w:rsid w:val="008936E7"/>
    <w:rsid w:val="00B253E3"/>
    <w:rsid w:val="00D40BCB"/>
    <w:rsid w:val="00DB7D3A"/>
    <w:rsid w:val="00E272E8"/>
    <w:rsid w:val="00EC57E1"/>
    <w:rsid w:val="0D0A261C"/>
    <w:rsid w:val="153C7240"/>
    <w:rsid w:val="1B9693AA"/>
    <w:rsid w:val="1F277DC4"/>
    <w:rsid w:val="218F78F6"/>
    <w:rsid w:val="25C51643"/>
    <w:rsid w:val="2A14C25E"/>
    <w:rsid w:val="2C698C5A"/>
    <w:rsid w:val="2EFE661B"/>
    <w:rsid w:val="3072E4F3"/>
    <w:rsid w:val="3EF4269A"/>
    <w:rsid w:val="431143CC"/>
    <w:rsid w:val="431A9E45"/>
    <w:rsid w:val="4CD984D1"/>
    <w:rsid w:val="54FF2748"/>
    <w:rsid w:val="5902742E"/>
    <w:rsid w:val="64D98D01"/>
    <w:rsid w:val="676BFA0A"/>
    <w:rsid w:val="6A953BED"/>
    <w:rsid w:val="6D45B67B"/>
    <w:rsid w:val="77259042"/>
    <w:rsid w:val="7737D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BD59"/>
  <w15:chartTrackingRefBased/>
  <w15:docId w15:val="{554722B4-8003-45C2-8D13-E4144229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35"/>
    <w:rPr>
      <w:rFonts w:eastAsiaTheme="majorEastAsia" w:cstheme="majorBidi"/>
      <w:color w:val="272727" w:themeColor="text1" w:themeTint="D8"/>
    </w:rPr>
  </w:style>
  <w:style w:type="paragraph" w:styleId="Title">
    <w:name w:val="Title"/>
    <w:basedOn w:val="Normal"/>
    <w:next w:val="Normal"/>
    <w:link w:val="TitleChar"/>
    <w:uiPriority w:val="10"/>
    <w:qFormat/>
    <w:rsid w:val="001A1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35"/>
    <w:pPr>
      <w:spacing w:before="160"/>
      <w:jc w:val="center"/>
    </w:pPr>
    <w:rPr>
      <w:i/>
      <w:iCs/>
      <w:color w:val="404040" w:themeColor="text1" w:themeTint="BF"/>
    </w:rPr>
  </w:style>
  <w:style w:type="character" w:customStyle="1" w:styleId="QuoteChar">
    <w:name w:val="Quote Char"/>
    <w:basedOn w:val="DefaultParagraphFont"/>
    <w:link w:val="Quote"/>
    <w:uiPriority w:val="29"/>
    <w:rsid w:val="001A1935"/>
    <w:rPr>
      <w:i/>
      <w:iCs/>
      <w:color w:val="404040" w:themeColor="text1" w:themeTint="BF"/>
    </w:rPr>
  </w:style>
  <w:style w:type="paragraph" w:styleId="ListParagraph">
    <w:name w:val="List Paragraph"/>
    <w:basedOn w:val="Normal"/>
    <w:uiPriority w:val="34"/>
    <w:qFormat/>
    <w:rsid w:val="001A1935"/>
    <w:pPr>
      <w:ind w:left="720"/>
      <w:contextualSpacing/>
    </w:pPr>
  </w:style>
  <w:style w:type="character" w:styleId="IntenseEmphasis">
    <w:name w:val="Intense Emphasis"/>
    <w:basedOn w:val="DefaultParagraphFont"/>
    <w:uiPriority w:val="21"/>
    <w:qFormat/>
    <w:rsid w:val="001A1935"/>
    <w:rPr>
      <w:i/>
      <w:iCs/>
      <w:color w:val="0F4761" w:themeColor="accent1" w:themeShade="BF"/>
    </w:rPr>
  </w:style>
  <w:style w:type="paragraph" w:styleId="IntenseQuote">
    <w:name w:val="Intense Quote"/>
    <w:basedOn w:val="Normal"/>
    <w:next w:val="Normal"/>
    <w:link w:val="IntenseQuoteChar"/>
    <w:uiPriority w:val="30"/>
    <w:qFormat/>
    <w:rsid w:val="001A1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935"/>
    <w:rPr>
      <w:i/>
      <w:iCs/>
      <w:color w:val="0F4761" w:themeColor="accent1" w:themeShade="BF"/>
    </w:rPr>
  </w:style>
  <w:style w:type="character" w:styleId="IntenseReference">
    <w:name w:val="Intense Reference"/>
    <w:basedOn w:val="DefaultParagraphFont"/>
    <w:uiPriority w:val="32"/>
    <w:qFormat/>
    <w:rsid w:val="001A1935"/>
    <w:rPr>
      <w:b/>
      <w:bCs/>
      <w:smallCaps/>
      <w:color w:val="0F4761" w:themeColor="accent1" w:themeShade="BF"/>
      <w:spacing w:val="5"/>
    </w:rPr>
  </w:style>
  <w:style w:type="character" w:styleId="Hyperlink">
    <w:name w:val="Hyperlink"/>
    <w:basedOn w:val="DefaultParagraphFont"/>
    <w:uiPriority w:val="99"/>
    <w:unhideWhenUsed/>
    <w:rsid w:val="001A1935"/>
    <w:rPr>
      <w:color w:val="467886" w:themeColor="hyperlink"/>
      <w:u w:val="single"/>
    </w:rPr>
  </w:style>
  <w:style w:type="character" w:styleId="UnresolvedMention">
    <w:name w:val="Unresolved Mention"/>
    <w:basedOn w:val="DefaultParagraphFont"/>
    <w:uiPriority w:val="99"/>
    <w:semiHidden/>
    <w:unhideWhenUsed/>
    <w:rsid w:val="001A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nb.ca/content/dam/gnb/Departments/ed/pdf/K12/curric/competencies/PenseeCritique.pdf" TargetMode="External"/><Relationship Id="rId3" Type="http://schemas.openxmlformats.org/officeDocument/2006/relationships/settings" Target="settings.xml"/><Relationship Id="rId7" Type="http://schemas.openxmlformats.org/officeDocument/2006/relationships/hyperlink" Target="https://centresofexcellencenb.ca/health/?speaker_series=virtual-tour-of-a-new-brunswick-long-term-care-ltc-home-explore-careers-in-lt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2.gnb.ca/content/dam/gnb/Departments/ed/pdf/K12/curric/competencies/ConscienceSoi.pdf" TargetMode="External"/><Relationship Id="rId4" Type="http://schemas.openxmlformats.org/officeDocument/2006/relationships/webSettings" Target="webSettings.xml"/><Relationship Id="rId9" Type="http://schemas.openxmlformats.org/officeDocument/2006/relationships/hyperlink" Target="https://www2.gnb.ca/content/dam/gnb/Departments/ed/pdf/K12/curric/competencies/Innovat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700</Words>
  <Characters>3994</Characters>
  <Application>Microsoft Office Word</Application>
  <DocSecurity>0</DocSecurity>
  <Lines>33</Lines>
  <Paragraphs>9</Paragraphs>
  <ScaleCrop>false</ScaleCrop>
  <Company>Province of New Brunswick</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Allain-Geldart, Abigail (EECD/EDPE)</dc:creator>
  <cp:lastModifiedBy>Allain-Geldart, Abigail (EECD/EDPE)</cp:lastModifiedBy>
  <cp:revision>3</cp:revision>
  <dcterms:created xsi:type="dcterms:W3CDTF">2026-03-25T13:23:00Z</dcterms:created>
  <dcterms:modified xsi:type="dcterms:W3CDTF">2026-04-01T13:33:00Z</dcterms:modified>
</cp:coreProperties>
</file>